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5876" w14:textId="1093EAF8" w:rsidR="00532AF3" w:rsidRPr="008252AC" w:rsidRDefault="00532AF3" w:rsidP="00DD5760">
      <w:pPr>
        <w:jc w:val="center"/>
        <w:rPr>
          <w:b/>
          <w:sz w:val="32"/>
          <w:szCs w:val="32"/>
        </w:rPr>
      </w:pPr>
      <w:r w:rsidRPr="008252AC">
        <w:rPr>
          <w:noProof/>
        </w:rPr>
        <w:drawing>
          <wp:anchor distT="0" distB="0" distL="114300" distR="114300" simplePos="0" relativeHeight="251658240" behindDoc="0" locked="0" layoutInCell="1" allowOverlap="1" wp14:anchorId="363675A3" wp14:editId="624BAE47">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FC1" w:rsidRPr="008252AC">
        <w:t xml:space="preserve">                  </w:t>
      </w:r>
      <w:r w:rsidR="009D2549" w:rsidRPr="008252AC">
        <w:rPr>
          <w:b/>
          <w:sz w:val="32"/>
          <w:szCs w:val="32"/>
        </w:rPr>
        <w:t>Heilsumálaráðið</w:t>
      </w:r>
    </w:p>
    <w:p w14:paraId="26775E64" w14:textId="77777777" w:rsidR="00532AF3" w:rsidRPr="008252AC" w:rsidRDefault="00532AF3" w:rsidP="00DD5760">
      <w:pPr>
        <w:rPr>
          <w:b/>
          <w:bCs/>
        </w:rPr>
      </w:pPr>
    </w:p>
    <w:p w14:paraId="4C6CECA8" w14:textId="77777777" w:rsidR="00532AF3" w:rsidRPr="008252AC" w:rsidRDefault="00532AF3" w:rsidP="00DD5760">
      <w:pPr>
        <w:rPr>
          <w:b/>
          <w:bCs/>
        </w:rPr>
      </w:pPr>
    </w:p>
    <w:tbl>
      <w:tblPr>
        <w:tblW w:w="0" w:type="auto"/>
        <w:jc w:val="right"/>
        <w:tblLook w:val="04A0" w:firstRow="1" w:lastRow="0" w:firstColumn="1" w:lastColumn="0" w:noHBand="0" w:noVBand="1"/>
      </w:tblPr>
      <w:tblGrid>
        <w:gridCol w:w="1523"/>
        <w:gridCol w:w="1629"/>
      </w:tblGrid>
      <w:tr w:rsidR="003E1F5D" w:rsidRPr="008252AC" w14:paraId="2A0BE678" w14:textId="77777777" w:rsidTr="00CE3B24">
        <w:trPr>
          <w:trHeight w:val="344"/>
          <w:jc w:val="right"/>
        </w:trPr>
        <w:tc>
          <w:tcPr>
            <w:tcW w:w="1523" w:type="dxa"/>
            <w:hideMark/>
          </w:tcPr>
          <w:p w14:paraId="09BFCA11" w14:textId="77777777" w:rsidR="003E1F5D" w:rsidRPr="008252AC" w:rsidRDefault="003E1F5D">
            <w:pPr>
              <w:rPr>
                <w:szCs w:val="24"/>
              </w:rPr>
            </w:pPr>
            <w:r w:rsidRPr="008252AC">
              <w:t xml:space="preserve">Dagfesting: </w:t>
            </w:r>
          </w:p>
        </w:tc>
        <w:tc>
          <w:tcPr>
            <w:tcW w:w="1629" w:type="dxa"/>
            <w:hideMark/>
          </w:tcPr>
          <w:p w14:paraId="1DB7AA45" w14:textId="3DD43D78" w:rsidR="003E1F5D" w:rsidRPr="008252AC" w:rsidRDefault="00914C13">
            <w:pPr>
              <w:tabs>
                <w:tab w:val="center" w:pos="4513"/>
                <w:tab w:val="right" w:pos="9026"/>
              </w:tabs>
            </w:pPr>
            <w:r w:rsidRPr="008252AC">
              <w:t>2</w:t>
            </w:r>
            <w:r w:rsidR="00455AE6">
              <w:t>. januar</w:t>
            </w:r>
            <w:r w:rsidR="009D2549" w:rsidRPr="008252AC">
              <w:t xml:space="preserve"> 2023</w:t>
            </w:r>
          </w:p>
        </w:tc>
      </w:tr>
      <w:tr w:rsidR="003E1F5D" w:rsidRPr="008252AC" w14:paraId="6FEA3878" w14:textId="77777777" w:rsidTr="00CE3B24">
        <w:trPr>
          <w:trHeight w:val="361"/>
          <w:jc w:val="right"/>
        </w:trPr>
        <w:tc>
          <w:tcPr>
            <w:tcW w:w="1523" w:type="dxa"/>
            <w:hideMark/>
          </w:tcPr>
          <w:p w14:paraId="2595556C" w14:textId="77777777" w:rsidR="003E1F5D" w:rsidRPr="008252AC" w:rsidRDefault="003E1F5D">
            <w:r w:rsidRPr="008252AC">
              <w:t>Mál nr.:</w:t>
            </w:r>
          </w:p>
        </w:tc>
        <w:tc>
          <w:tcPr>
            <w:tcW w:w="1629" w:type="dxa"/>
            <w:hideMark/>
          </w:tcPr>
          <w:p w14:paraId="6CFAE32D" w14:textId="3A566665" w:rsidR="003E1F5D" w:rsidRPr="008252AC" w:rsidRDefault="009D2549">
            <w:pPr>
              <w:tabs>
                <w:tab w:val="center" w:pos="4513"/>
                <w:tab w:val="right" w:pos="9026"/>
              </w:tabs>
            </w:pPr>
            <w:r w:rsidRPr="008252AC">
              <w:t>23/10433-6</w:t>
            </w:r>
          </w:p>
        </w:tc>
      </w:tr>
      <w:tr w:rsidR="003E1F5D" w:rsidRPr="008252AC" w14:paraId="1BFD5AEB" w14:textId="77777777" w:rsidTr="00CE3B24">
        <w:trPr>
          <w:trHeight w:val="344"/>
          <w:jc w:val="right"/>
        </w:trPr>
        <w:tc>
          <w:tcPr>
            <w:tcW w:w="1523" w:type="dxa"/>
            <w:hideMark/>
          </w:tcPr>
          <w:p w14:paraId="07854F01" w14:textId="77777777" w:rsidR="003E1F5D" w:rsidRPr="008252AC" w:rsidRDefault="003E1F5D">
            <w:r w:rsidRPr="008252AC">
              <w:t>Málsviðgjørt:</w:t>
            </w:r>
          </w:p>
        </w:tc>
        <w:tc>
          <w:tcPr>
            <w:tcW w:w="1629" w:type="dxa"/>
            <w:hideMark/>
          </w:tcPr>
          <w:p w14:paraId="20349323" w14:textId="59C8CD93" w:rsidR="003E1F5D" w:rsidRPr="008252AC" w:rsidRDefault="009D2549">
            <w:pPr>
              <w:tabs>
                <w:tab w:val="center" w:pos="4513"/>
                <w:tab w:val="right" w:pos="9026"/>
              </w:tabs>
            </w:pPr>
            <w:r w:rsidRPr="008252AC">
              <w:t>GMM</w:t>
            </w:r>
          </w:p>
        </w:tc>
      </w:tr>
      <w:tr w:rsidR="003E1F5D" w:rsidRPr="008252AC" w14:paraId="6B0C7638" w14:textId="77777777" w:rsidTr="00CE3B24">
        <w:trPr>
          <w:trHeight w:val="344"/>
          <w:jc w:val="right"/>
        </w:trPr>
        <w:tc>
          <w:tcPr>
            <w:tcW w:w="1523" w:type="dxa"/>
            <w:hideMark/>
          </w:tcPr>
          <w:p w14:paraId="61959B7F" w14:textId="77777777" w:rsidR="003E1F5D" w:rsidRPr="008252AC" w:rsidRDefault="003E1F5D">
            <w:r w:rsidRPr="008252AC">
              <w:t>Ummælistíð:</w:t>
            </w:r>
          </w:p>
        </w:tc>
        <w:tc>
          <w:tcPr>
            <w:tcW w:w="1629" w:type="dxa"/>
            <w:hideMark/>
          </w:tcPr>
          <w:p w14:paraId="437B44D5" w14:textId="49B68345" w:rsidR="003E1F5D" w:rsidRPr="008252AC" w:rsidRDefault="009D2549">
            <w:pPr>
              <w:tabs>
                <w:tab w:val="center" w:pos="4513"/>
                <w:tab w:val="right" w:pos="9026"/>
              </w:tabs>
            </w:pPr>
            <w:r w:rsidRPr="008252AC">
              <w:t>N/A</w:t>
            </w:r>
          </w:p>
        </w:tc>
      </w:tr>
      <w:tr w:rsidR="003E1F5D" w:rsidRPr="008252AC" w14:paraId="60B3FA70" w14:textId="77777777" w:rsidTr="00CE3B24">
        <w:trPr>
          <w:trHeight w:val="565"/>
          <w:jc w:val="right"/>
        </w:trPr>
        <w:tc>
          <w:tcPr>
            <w:tcW w:w="1523" w:type="dxa"/>
            <w:hideMark/>
          </w:tcPr>
          <w:p w14:paraId="58203030" w14:textId="77777777" w:rsidR="003E1F5D" w:rsidRPr="008252AC" w:rsidRDefault="003E1F5D">
            <w:r w:rsidRPr="008252AC">
              <w:t>Eftirkannað:</w:t>
            </w:r>
          </w:p>
        </w:tc>
        <w:tc>
          <w:tcPr>
            <w:tcW w:w="1629" w:type="dxa"/>
            <w:hideMark/>
          </w:tcPr>
          <w:p w14:paraId="31609153" w14:textId="710CF4F0" w:rsidR="003E1F5D" w:rsidRPr="008252AC" w:rsidRDefault="00553958">
            <w:pPr>
              <w:tabs>
                <w:tab w:val="center" w:pos="4513"/>
                <w:tab w:val="right" w:pos="9026"/>
              </w:tabs>
            </w:pPr>
            <w:r w:rsidRPr="008252AC">
              <w:t>2</w:t>
            </w:r>
            <w:r w:rsidR="00777FE3" w:rsidRPr="008252AC">
              <w:t>5</w:t>
            </w:r>
            <w:r w:rsidRPr="008252AC">
              <w:t>.11.2023</w:t>
            </w:r>
          </w:p>
        </w:tc>
      </w:tr>
    </w:tbl>
    <w:p w14:paraId="739B79FE" w14:textId="77777777" w:rsidR="00532AF3" w:rsidRPr="008252AC" w:rsidRDefault="00532AF3" w:rsidP="00DD5760">
      <w:pPr>
        <w:rPr>
          <w:b/>
        </w:rPr>
      </w:pPr>
    </w:p>
    <w:p w14:paraId="2EA40747" w14:textId="77777777" w:rsidR="00813582" w:rsidRPr="008252AC" w:rsidRDefault="00813582" w:rsidP="00DD5760">
      <w:pPr>
        <w:rPr>
          <w:bCs/>
        </w:rPr>
      </w:pPr>
    </w:p>
    <w:p w14:paraId="65B7E7F6" w14:textId="77777777" w:rsidR="00532AF3" w:rsidRPr="008252AC" w:rsidRDefault="00532AF3" w:rsidP="00DD5760">
      <w:pPr>
        <w:rPr>
          <w:bCs/>
        </w:rPr>
      </w:pPr>
    </w:p>
    <w:p w14:paraId="5B4AB8E8" w14:textId="77777777" w:rsidR="00532AF3" w:rsidRPr="008252AC" w:rsidRDefault="00532AF3" w:rsidP="00DD5760">
      <w:pPr>
        <w:jc w:val="center"/>
        <w:rPr>
          <w:b/>
          <w:szCs w:val="24"/>
        </w:rPr>
      </w:pPr>
      <w:r w:rsidRPr="008252AC">
        <w:rPr>
          <w:b/>
          <w:szCs w:val="24"/>
        </w:rPr>
        <w:t>Uppskot til</w:t>
      </w:r>
    </w:p>
    <w:p w14:paraId="5CA495BD" w14:textId="77777777" w:rsidR="00532AF3" w:rsidRPr="008252AC" w:rsidRDefault="00532AF3" w:rsidP="00DD5760">
      <w:pPr>
        <w:jc w:val="center"/>
        <w:rPr>
          <w:b/>
          <w:szCs w:val="24"/>
        </w:rPr>
      </w:pPr>
    </w:p>
    <w:p w14:paraId="16CD96D8" w14:textId="77777777" w:rsidR="00DF6FD2" w:rsidRPr="008252AC" w:rsidRDefault="009D2549" w:rsidP="009D2549">
      <w:pPr>
        <w:jc w:val="center"/>
        <w:rPr>
          <w:b/>
          <w:szCs w:val="24"/>
        </w:rPr>
      </w:pPr>
      <w:r w:rsidRPr="008252AC">
        <w:rPr>
          <w:b/>
          <w:szCs w:val="24"/>
        </w:rPr>
        <w:t xml:space="preserve">Løgtingslóg um broyting í løgtingslóg um almenna heilsutrygd </w:t>
      </w:r>
    </w:p>
    <w:p w14:paraId="46DDDD07" w14:textId="561FA36E" w:rsidR="009D2549" w:rsidRPr="008252AC" w:rsidRDefault="009D2549" w:rsidP="009D2549">
      <w:pPr>
        <w:jc w:val="center"/>
        <w:rPr>
          <w:b/>
          <w:szCs w:val="24"/>
        </w:rPr>
      </w:pPr>
      <w:r w:rsidRPr="008252AC">
        <w:rPr>
          <w:b/>
          <w:szCs w:val="24"/>
        </w:rPr>
        <w:t>(Heilsutrygdarlógin)</w:t>
      </w:r>
    </w:p>
    <w:p w14:paraId="16A23CBA" w14:textId="26C6B2DD" w:rsidR="00532AF3" w:rsidRPr="008252AC" w:rsidRDefault="009D2549" w:rsidP="009D2549">
      <w:pPr>
        <w:jc w:val="center"/>
        <w:rPr>
          <w:bCs/>
          <w:szCs w:val="24"/>
        </w:rPr>
      </w:pPr>
      <w:r w:rsidRPr="008252AC">
        <w:rPr>
          <w:bCs/>
          <w:szCs w:val="24"/>
        </w:rPr>
        <w:t>(Undantak fyri gjaldsskyldu</w:t>
      </w:r>
      <w:r w:rsidR="00387FE7" w:rsidRPr="008252AC">
        <w:rPr>
          <w:bCs/>
          <w:szCs w:val="24"/>
        </w:rPr>
        <w:t>, afturgjaldsreglur og heimild til innheinting av skuld o.a.</w:t>
      </w:r>
      <w:r w:rsidRPr="008252AC">
        <w:rPr>
          <w:bCs/>
          <w:szCs w:val="24"/>
        </w:rPr>
        <w:t>)</w:t>
      </w:r>
    </w:p>
    <w:p w14:paraId="69007539" w14:textId="77777777" w:rsidR="00532AF3" w:rsidRPr="008252AC" w:rsidRDefault="00532AF3" w:rsidP="00DD5760">
      <w:pPr>
        <w:jc w:val="center"/>
        <w:rPr>
          <w:b/>
          <w:szCs w:val="24"/>
        </w:rPr>
      </w:pPr>
    </w:p>
    <w:p w14:paraId="34A978EF" w14:textId="77777777" w:rsidR="00532AF3" w:rsidRPr="008252AC" w:rsidRDefault="00532AF3" w:rsidP="00DD5760">
      <w:pPr>
        <w:rPr>
          <w:b/>
          <w:bCs/>
        </w:rPr>
        <w:sectPr w:rsidR="00532AF3" w:rsidRPr="008252AC" w:rsidSect="00532AF3">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5857CC7E" w14:textId="77777777" w:rsidR="009D2549" w:rsidRPr="008252AC" w:rsidRDefault="009D2549" w:rsidP="00446403">
      <w:pPr>
        <w:jc w:val="center"/>
        <w:rPr>
          <w:b/>
          <w:szCs w:val="24"/>
        </w:rPr>
      </w:pPr>
      <w:r w:rsidRPr="008252AC">
        <w:rPr>
          <w:b/>
          <w:szCs w:val="24"/>
        </w:rPr>
        <w:t>§ 1</w:t>
      </w:r>
    </w:p>
    <w:p w14:paraId="3B4CD5F7" w14:textId="77777777" w:rsidR="009D2549" w:rsidRPr="008252AC" w:rsidRDefault="009D2549" w:rsidP="009D2549">
      <w:pPr>
        <w:rPr>
          <w:szCs w:val="24"/>
        </w:rPr>
      </w:pPr>
    </w:p>
    <w:p w14:paraId="0DB9368E" w14:textId="77777777" w:rsidR="009D2549" w:rsidRPr="008252AC" w:rsidRDefault="009D2549" w:rsidP="009D2549">
      <w:pPr>
        <w:rPr>
          <w:szCs w:val="24"/>
        </w:rPr>
      </w:pPr>
      <w:r w:rsidRPr="008252AC">
        <w:rPr>
          <w:szCs w:val="24"/>
        </w:rPr>
        <w:t>Í løgtingslóg nr. 178 frá 22. desember 2009 um almenna heilsutrygd (Heilsutrygdarlógin), sum seinast broytt við løgtingslóg nr. 159 frá 10. desember 2021, verða gjørdar hesar broytingar:</w:t>
      </w:r>
    </w:p>
    <w:p w14:paraId="7BE0DA60" w14:textId="77777777" w:rsidR="009D2549" w:rsidRPr="008252AC" w:rsidRDefault="009D2549" w:rsidP="009D2549">
      <w:pPr>
        <w:rPr>
          <w:rFonts w:eastAsia="Times New Roman"/>
          <w:b/>
          <w:szCs w:val="20"/>
          <w:lang w:eastAsia="en-US"/>
        </w:rPr>
      </w:pPr>
    </w:p>
    <w:p w14:paraId="6D99C460" w14:textId="77777777" w:rsidR="009D2549" w:rsidRPr="008252AC" w:rsidRDefault="009D2549" w:rsidP="00446403">
      <w:pPr>
        <w:numPr>
          <w:ilvl w:val="0"/>
          <w:numId w:val="1"/>
        </w:numPr>
        <w:contextualSpacing/>
        <w:rPr>
          <w:rFonts w:eastAsia="Times New Roman"/>
          <w:b/>
          <w:szCs w:val="20"/>
          <w:lang w:eastAsia="en-US"/>
        </w:rPr>
      </w:pPr>
      <w:r w:rsidRPr="008252AC">
        <w:rPr>
          <w:rFonts w:eastAsia="Times New Roman"/>
          <w:szCs w:val="20"/>
          <w:lang w:eastAsia="en-US"/>
        </w:rPr>
        <w:t>Yvirskriftin yvir § 24 verður orðað soleiðis:</w:t>
      </w:r>
    </w:p>
    <w:p w14:paraId="3F0F810C" w14:textId="54518E96" w:rsidR="009D2549" w:rsidRPr="008252AC" w:rsidRDefault="009D2549">
      <w:pPr>
        <w:ind w:left="360"/>
        <w:contextualSpacing/>
        <w:jc w:val="center"/>
        <w:rPr>
          <w:rFonts w:eastAsia="Times New Roman"/>
          <w:i/>
          <w:szCs w:val="20"/>
          <w:lang w:eastAsia="en-US"/>
        </w:rPr>
      </w:pPr>
      <w:r w:rsidRPr="008252AC">
        <w:rPr>
          <w:rFonts w:eastAsia="Times New Roman"/>
          <w:i/>
          <w:szCs w:val="20"/>
          <w:lang w:eastAsia="en-US"/>
        </w:rPr>
        <w:t>“Gjald”</w:t>
      </w:r>
    </w:p>
    <w:p w14:paraId="57D7F9FD" w14:textId="77777777" w:rsidR="005251F6" w:rsidRPr="008252AC" w:rsidRDefault="005251F6" w:rsidP="00446403">
      <w:pPr>
        <w:ind w:left="360"/>
        <w:contextualSpacing/>
        <w:jc w:val="center"/>
        <w:rPr>
          <w:rFonts w:eastAsia="Times New Roman"/>
          <w:i/>
          <w:szCs w:val="20"/>
          <w:lang w:eastAsia="en-US"/>
        </w:rPr>
      </w:pPr>
    </w:p>
    <w:p w14:paraId="52AD3398" w14:textId="2CAFC961" w:rsidR="009D2549" w:rsidRPr="008252AC" w:rsidRDefault="009D2549" w:rsidP="00365113">
      <w:pPr>
        <w:numPr>
          <w:ilvl w:val="0"/>
          <w:numId w:val="1"/>
        </w:numPr>
        <w:contextualSpacing/>
        <w:rPr>
          <w:rFonts w:eastAsia="Times New Roman"/>
          <w:szCs w:val="20"/>
          <w:lang w:eastAsia="en-US"/>
        </w:rPr>
      </w:pPr>
      <w:r w:rsidRPr="008252AC">
        <w:rPr>
          <w:rFonts w:eastAsia="Times New Roman"/>
          <w:szCs w:val="20"/>
          <w:lang w:eastAsia="en-US"/>
        </w:rPr>
        <w:t xml:space="preserve">Í § 24 verður aftan á stk. 1 sum nýtt stk. </w:t>
      </w:r>
      <w:r w:rsidR="0007614E" w:rsidRPr="008252AC">
        <w:rPr>
          <w:rFonts w:eastAsia="Times New Roman"/>
          <w:szCs w:val="20"/>
          <w:lang w:eastAsia="en-US"/>
        </w:rPr>
        <w:t xml:space="preserve">2 </w:t>
      </w:r>
      <w:r w:rsidRPr="008252AC">
        <w:rPr>
          <w:rFonts w:eastAsia="Times New Roman"/>
          <w:szCs w:val="20"/>
          <w:lang w:eastAsia="en-US"/>
        </w:rPr>
        <w:t>sett:</w:t>
      </w:r>
    </w:p>
    <w:p w14:paraId="3AB256E8" w14:textId="77777777" w:rsidR="005251F6" w:rsidRPr="008252AC" w:rsidRDefault="005251F6" w:rsidP="00446403">
      <w:pPr>
        <w:ind w:left="360"/>
        <w:contextualSpacing/>
        <w:rPr>
          <w:rFonts w:eastAsia="Times New Roman"/>
          <w:szCs w:val="20"/>
          <w:lang w:eastAsia="en-US"/>
        </w:rPr>
      </w:pPr>
    </w:p>
    <w:p w14:paraId="59A11D44" w14:textId="39118125" w:rsidR="009D2549" w:rsidRPr="008252AC" w:rsidRDefault="009D2549" w:rsidP="00446403">
      <w:pPr>
        <w:ind w:left="360"/>
        <w:rPr>
          <w:rFonts w:eastAsia="Times New Roman"/>
          <w:szCs w:val="20"/>
          <w:lang w:eastAsia="en-US"/>
        </w:rPr>
      </w:pPr>
      <w:r w:rsidRPr="008252AC">
        <w:rPr>
          <w:rFonts w:eastAsia="Times New Roman"/>
          <w:szCs w:val="20"/>
          <w:lang w:eastAsia="en-US"/>
        </w:rPr>
        <w:t>“</w:t>
      </w:r>
      <w:r w:rsidRPr="008252AC">
        <w:rPr>
          <w:rFonts w:eastAsia="Times New Roman"/>
          <w:i/>
          <w:szCs w:val="20"/>
          <w:lang w:eastAsia="en-US"/>
        </w:rPr>
        <w:t>Stk. 2.</w:t>
      </w:r>
      <w:r w:rsidRPr="008252AC">
        <w:rPr>
          <w:rFonts w:eastAsia="Times New Roman"/>
          <w:szCs w:val="20"/>
          <w:lang w:eastAsia="en-US"/>
        </w:rPr>
        <w:t xml:space="preserve"> Persónar, sum eru fevndir av stk. 1, men sum rinda heilsutrygdargjald í øðrum </w:t>
      </w:r>
      <w:r w:rsidR="007C759C" w:rsidRPr="008252AC">
        <w:rPr>
          <w:rFonts w:eastAsia="Times New Roman"/>
          <w:szCs w:val="20"/>
          <w:lang w:eastAsia="en-US"/>
        </w:rPr>
        <w:t>N</w:t>
      </w:r>
      <w:r w:rsidRPr="008252AC">
        <w:rPr>
          <w:rFonts w:eastAsia="Times New Roman"/>
          <w:szCs w:val="20"/>
          <w:lang w:eastAsia="en-US"/>
        </w:rPr>
        <w:t>orðanlandi vísandi til Nordisk konvention om social sikring</w:t>
      </w:r>
      <w:r w:rsidR="00B23045" w:rsidRPr="008252AC">
        <w:rPr>
          <w:rFonts w:eastAsia="Times New Roman"/>
          <w:szCs w:val="20"/>
          <w:lang w:eastAsia="en-US"/>
        </w:rPr>
        <w:t>,</w:t>
      </w:r>
      <w:r w:rsidRPr="008252AC">
        <w:rPr>
          <w:rFonts w:eastAsia="Times New Roman"/>
          <w:szCs w:val="20"/>
          <w:lang w:eastAsia="en-US"/>
        </w:rPr>
        <w:t xml:space="preserve"> og sum ikki kunnu draga gjaldið frá, vísandi til skattalógina, kunnu eftir umsókn verða undantiknir gjaldskyldu. Undantøkan hevur virknað frá tí degi, umsóknin er móttikin. Tá ið umsøkjarin ikki longur rindar heilsutrygdargjald í øðrum </w:t>
      </w:r>
      <w:r w:rsidR="007C759C" w:rsidRPr="008252AC">
        <w:rPr>
          <w:rFonts w:eastAsia="Times New Roman"/>
          <w:szCs w:val="20"/>
          <w:lang w:eastAsia="en-US"/>
        </w:rPr>
        <w:t>N</w:t>
      </w:r>
      <w:r w:rsidRPr="008252AC">
        <w:rPr>
          <w:rFonts w:eastAsia="Times New Roman"/>
          <w:szCs w:val="20"/>
          <w:lang w:eastAsia="en-US"/>
        </w:rPr>
        <w:t>orðanlandi, hevur hann skyldu at boða Heilsutrygd frá hesum.”</w:t>
      </w:r>
    </w:p>
    <w:p w14:paraId="14ECABBF" w14:textId="77777777" w:rsidR="009D2549" w:rsidRPr="008252AC" w:rsidRDefault="009D2549" w:rsidP="00446403">
      <w:pPr>
        <w:ind w:left="360"/>
        <w:jc w:val="both"/>
        <w:rPr>
          <w:rFonts w:eastAsia="Times New Roman"/>
          <w:szCs w:val="20"/>
          <w:lang w:eastAsia="en-US"/>
        </w:rPr>
      </w:pPr>
      <w:r w:rsidRPr="008252AC">
        <w:rPr>
          <w:rFonts w:eastAsia="Times New Roman"/>
          <w:szCs w:val="20"/>
          <w:lang w:eastAsia="en-US"/>
        </w:rPr>
        <w:t>Stk. 2 og 3 verða eftir hetta stk. 3 og 4.</w:t>
      </w:r>
    </w:p>
    <w:p w14:paraId="56858365" w14:textId="77777777" w:rsidR="009D2549" w:rsidRPr="008252AC" w:rsidRDefault="009D2549" w:rsidP="009D2549">
      <w:pPr>
        <w:ind w:left="720"/>
        <w:contextualSpacing/>
        <w:rPr>
          <w:rFonts w:eastAsia="Times New Roman"/>
          <w:szCs w:val="20"/>
          <w:lang w:eastAsia="en-US"/>
        </w:rPr>
      </w:pPr>
    </w:p>
    <w:p w14:paraId="5B0E9EB2" w14:textId="5A1B8FFC" w:rsidR="009D2549" w:rsidRPr="008252AC" w:rsidRDefault="009D2549">
      <w:pPr>
        <w:numPr>
          <w:ilvl w:val="0"/>
          <w:numId w:val="1"/>
        </w:numPr>
        <w:contextualSpacing/>
        <w:rPr>
          <w:rFonts w:eastAsia="Times New Roman"/>
          <w:szCs w:val="20"/>
          <w:lang w:eastAsia="en-US"/>
        </w:rPr>
      </w:pPr>
      <w:r w:rsidRPr="008252AC">
        <w:rPr>
          <w:rFonts w:eastAsia="Times New Roman"/>
          <w:szCs w:val="20"/>
          <w:lang w:eastAsia="en-US"/>
        </w:rPr>
        <w:t>Í § 24 verður sum stk. 5 sett</w:t>
      </w:r>
      <w:r w:rsidR="00B23045" w:rsidRPr="008252AC">
        <w:rPr>
          <w:rFonts w:eastAsia="Times New Roman"/>
          <w:szCs w:val="20"/>
          <w:lang w:eastAsia="en-US"/>
        </w:rPr>
        <w:t xml:space="preserve"> inn</w:t>
      </w:r>
      <w:r w:rsidRPr="008252AC">
        <w:rPr>
          <w:rFonts w:eastAsia="Times New Roman"/>
          <w:szCs w:val="20"/>
          <w:lang w:eastAsia="en-US"/>
        </w:rPr>
        <w:t>:</w:t>
      </w:r>
    </w:p>
    <w:p w14:paraId="6E6F8AFD" w14:textId="77777777" w:rsidR="005251F6" w:rsidRPr="008252AC" w:rsidRDefault="005251F6" w:rsidP="00446403">
      <w:pPr>
        <w:ind w:left="360"/>
        <w:contextualSpacing/>
        <w:rPr>
          <w:rFonts w:eastAsia="Times New Roman"/>
          <w:szCs w:val="20"/>
          <w:lang w:eastAsia="en-US"/>
        </w:rPr>
      </w:pPr>
    </w:p>
    <w:p w14:paraId="5AEAE6CF" w14:textId="02F4663C" w:rsidR="009D2549" w:rsidRPr="008252AC" w:rsidRDefault="009D2549" w:rsidP="00446403">
      <w:pPr>
        <w:ind w:left="360"/>
        <w:rPr>
          <w:rFonts w:eastAsia="Times New Roman"/>
          <w:szCs w:val="20"/>
          <w:lang w:eastAsia="en-US"/>
        </w:rPr>
      </w:pPr>
      <w:r w:rsidRPr="008252AC">
        <w:rPr>
          <w:rFonts w:eastAsia="Times New Roman"/>
          <w:szCs w:val="20"/>
          <w:lang w:eastAsia="en-US"/>
        </w:rPr>
        <w:t>“</w:t>
      </w:r>
      <w:r w:rsidRPr="008252AC">
        <w:rPr>
          <w:rFonts w:eastAsia="Times New Roman"/>
          <w:i/>
          <w:szCs w:val="20"/>
          <w:lang w:eastAsia="en-US"/>
        </w:rPr>
        <w:t xml:space="preserve">Stk. 5. </w:t>
      </w:r>
      <w:r w:rsidRPr="008252AC">
        <w:rPr>
          <w:rFonts w:eastAsia="Times New Roman"/>
          <w:szCs w:val="20"/>
          <w:lang w:eastAsia="en-US"/>
        </w:rPr>
        <w:t>Landsstýris</w:t>
      </w:r>
      <w:r w:rsidR="00DF72BC" w:rsidRPr="008252AC">
        <w:rPr>
          <w:rFonts w:eastAsia="Times New Roman"/>
          <w:szCs w:val="20"/>
          <w:lang w:eastAsia="en-US"/>
        </w:rPr>
        <w:t>fólkið</w:t>
      </w:r>
      <w:r w:rsidRPr="008252AC">
        <w:rPr>
          <w:rFonts w:eastAsia="Times New Roman"/>
          <w:szCs w:val="20"/>
          <w:lang w:eastAsia="en-US"/>
        </w:rPr>
        <w:t xml:space="preserve"> kann áseta nærri reglur um viðurskifti viðvíkjandi umsókn og fráboðanarskyldu sambært stk. 2.”</w:t>
      </w:r>
    </w:p>
    <w:p w14:paraId="00A56C5E" w14:textId="77777777" w:rsidR="009D2549" w:rsidRPr="008252AC" w:rsidRDefault="009D2549" w:rsidP="009D2549">
      <w:pPr>
        <w:rPr>
          <w:rFonts w:eastAsia="Times New Roman"/>
          <w:szCs w:val="20"/>
          <w:lang w:eastAsia="en-US"/>
        </w:rPr>
      </w:pPr>
    </w:p>
    <w:p w14:paraId="653B0B77" w14:textId="65953581" w:rsidR="009D2549" w:rsidRPr="008252AC" w:rsidRDefault="009D2549">
      <w:pPr>
        <w:numPr>
          <w:ilvl w:val="0"/>
          <w:numId w:val="1"/>
        </w:numPr>
        <w:contextualSpacing/>
        <w:rPr>
          <w:rFonts w:eastAsia="Times New Roman"/>
          <w:b/>
          <w:szCs w:val="20"/>
          <w:lang w:eastAsia="en-US"/>
        </w:rPr>
      </w:pPr>
      <w:r w:rsidRPr="008252AC">
        <w:rPr>
          <w:rFonts w:eastAsia="Times New Roman"/>
          <w:szCs w:val="20"/>
          <w:lang w:eastAsia="en-US"/>
        </w:rPr>
        <w:t>Í § 26 verður aftan á 1. pkt. sum nýtt pkt. sett:</w:t>
      </w:r>
    </w:p>
    <w:p w14:paraId="283276E6" w14:textId="77777777" w:rsidR="005251F6" w:rsidRPr="008252AC" w:rsidRDefault="005251F6" w:rsidP="00446403">
      <w:pPr>
        <w:ind w:left="360"/>
        <w:contextualSpacing/>
        <w:rPr>
          <w:rFonts w:eastAsia="Times New Roman"/>
          <w:b/>
          <w:szCs w:val="20"/>
          <w:lang w:eastAsia="en-US"/>
        </w:rPr>
      </w:pPr>
    </w:p>
    <w:p w14:paraId="2533D2B6" w14:textId="77777777" w:rsidR="009D2549" w:rsidRPr="008252AC" w:rsidRDefault="009D2549" w:rsidP="00446403">
      <w:pPr>
        <w:ind w:left="360"/>
        <w:rPr>
          <w:rFonts w:eastAsia="Times New Roman"/>
          <w:szCs w:val="20"/>
          <w:lang w:eastAsia="en-US"/>
        </w:rPr>
      </w:pPr>
      <w:r w:rsidRPr="008252AC">
        <w:rPr>
          <w:rFonts w:eastAsia="Times New Roman"/>
          <w:szCs w:val="20"/>
          <w:lang w:eastAsia="en-US"/>
        </w:rPr>
        <w:t>“Til nýtslu í sambandi við umsókn um gjaldsfrítøku sambært § 24, stk. 2, kann Heilsutrygd útvega sær upplýsingar frá øðrum viðkomandi myndugleikum, undir hesum TAKS.”</w:t>
      </w:r>
    </w:p>
    <w:p w14:paraId="5027666F" w14:textId="77777777" w:rsidR="009D2549" w:rsidRPr="008252AC" w:rsidRDefault="009D2549" w:rsidP="009D2549">
      <w:pPr>
        <w:rPr>
          <w:rFonts w:eastAsia="Times New Roman"/>
          <w:b/>
          <w:szCs w:val="20"/>
          <w:lang w:eastAsia="en-US"/>
        </w:rPr>
      </w:pPr>
    </w:p>
    <w:p w14:paraId="129193C2" w14:textId="41BBCF3F" w:rsidR="009D2549" w:rsidRPr="008252AC" w:rsidRDefault="009D2549">
      <w:pPr>
        <w:numPr>
          <w:ilvl w:val="0"/>
          <w:numId w:val="1"/>
        </w:numPr>
        <w:contextualSpacing/>
        <w:rPr>
          <w:rFonts w:eastAsia="Times New Roman"/>
          <w:b/>
          <w:szCs w:val="20"/>
          <w:lang w:eastAsia="en-US"/>
        </w:rPr>
      </w:pPr>
      <w:r w:rsidRPr="008252AC">
        <w:rPr>
          <w:rFonts w:eastAsia="Times New Roman"/>
          <w:szCs w:val="20"/>
          <w:lang w:eastAsia="en-US"/>
        </w:rPr>
        <w:t>Í § 26 verða sum stk. 2 og 3 sett:</w:t>
      </w:r>
    </w:p>
    <w:p w14:paraId="5D0A7C00" w14:textId="77777777" w:rsidR="005251F6" w:rsidRPr="008252AC" w:rsidRDefault="005251F6" w:rsidP="00446403">
      <w:pPr>
        <w:ind w:left="360"/>
        <w:contextualSpacing/>
        <w:rPr>
          <w:rFonts w:eastAsia="Times New Roman"/>
          <w:b/>
          <w:szCs w:val="20"/>
          <w:lang w:eastAsia="en-US"/>
        </w:rPr>
      </w:pPr>
    </w:p>
    <w:p w14:paraId="75DE2E5F" w14:textId="77777777" w:rsidR="009D2549" w:rsidRPr="008252AC" w:rsidRDefault="009D2549" w:rsidP="00446403">
      <w:pPr>
        <w:ind w:left="360"/>
        <w:rPr>
          <w:rFonts w:eastAsia="Times New Roman"/>
          <w:szCs w:val="20"/>
          <w:lang w:eastAsia="en-US"/>
        </w:rPr>
      </w:pPr>
      <w:r w:rsidRPr="008252AC">
        <w:rPr>
          <w:rFonts w:eastAsia="Times New Roman"/>
          <w:szCs w:val="20"/>
          <w:lang w:eastAsia="en-US"/>
        </w:rPr>
        <w:t>“</w:t>
      </w:r>
      <w:r w:rsidRPr="008252AC">
        <w:rPr>
          <w:rFonts w:eastAsia="Times New Roman"/>
          <w:i/>
          <w:szCs w:val="20"/>
          <w:lang w:eastAsia="en-US"/>
        </w:rPr>
        <w:t>Stk. 2.</w:t>
      </w:r>
      <w:r w:rsidRPr="008252AC">
        <w:rPr>
          <w:rFonts w:eastAsia="Times New Roman"/>
          <w:szCs w:val="20"/>
          <w:lang w:eastAsia="en-US"/>
        </w:rPr>
        <w:t xml:space="preserve"> Hevur persónur givið Heilsutrygd skeivar upplýsingar ella tagt um umstøður, sum hava týdning fyri gjaldsfrítøku sambært § 24, stk. 2, kann Heilsutrygd eftirfylgjandi krevja </w:t>
      </w:r>
      <w:r w:rsidRPr="008252AC">
        <w:rPr>
          <w:rFonts w:eastAsia="Times New Roman"/>
          <w:szCs w:val="20"/>
          <w:lang w:eastAsia="en-US"/>
        </w:rPr>
        <w:lastRenderedPageBreak/>
        <w:t xml:space="preserve">inn gjaldið, ið viðkomandi av órøttum ikki hevur goldið. </w:t>
      </w:r>
    </w:p>
    <w:p w14:paraId="67A5FBDA" w14:textId="77777777" w:rsidR="009D2549" w:rsidRPr="008252AC" w:rsidRDefault="009D2549" w:rsidP="00446403">
      <w:pPr>
        <w:ind w:left="360"/>
        <w:rPr>
          <w:rFonts w:eastAsia="Times New Roman"/>
          <w:szCs w:val="20"/>
          <w:lang w:eastAsia="en-US"/>
        </w:rPr>
      </w:pPr>
      <w:r w:rsidRPr="008252AC">
        <w:rPr>
          <w:rFonts w:eastAsia="Times New Roman"/>
          <w:i/>
          <w:szCs w:val="20"/>
          <w:lang w:eastAsia="en-US"/>
        </w:rPr>
        <w:t>Stk. 3.</w:t>
      </w:r>
      <w:r w:rsidRPr="008252AC">
        <w:rPr>
          <w:rFonts w:eastAsia="Times New Roman"/>
          <w:szCs w:val="20"/>
          <w:lang w:eastAsia="en-US"/>
        </w:rPr>
        <w:t xml:space="preserve"> Rindar ein persónur, ið er fevndur av løgtingslógini, ikki gjaldið innan ásettu freist, verður </w:t>
      </w:r>
    </w:p>
    <w:p w14:paraId="65BBD873" w14:textId="77777777" w:rsidR="009D2549" w:rsidRPr="008252AC" w:rsidRDefault="009D2549" w:rsidP="00EC0026">
      <w:pPr>
        <w:ind w:left="360"/>
        <w:rPr>
          <w:rFonts w:eastAsia="Times New Roman"/>
          <w:szCs w:val="20"/>
          <w:lang w:eastAsia="en-US"/>
        </w:rPr>
      </w:pPr>
      <w:r w:rsidRPr="008252AC">
        <w:rPr>
          <w:rFonts w:eastAsia="Times New Roman"/>
          <w:szCs w:val="20"/>
          <w:lang w:eastAsia="en-US"/>
        </w:rPr>
        <w:t>rentutilskriving framd. Rentutilskrivingin er 0,7% fyri hvønn byrjaðan mánað. Sama er galdandi fyri skuldskrivaða rentu.”</w:t>
      </w:r>
    </w:p>
    <w:p w14:paraId="726B9016" w14:textId="77777777" w:rsidR="009D2549" w:rsidRPr="008252AC" w:rsidRDefault="009D2549" w:rsidP="009D2549">
      <w:pPr>
        <w:jc w:val="both"/>
        <w:rPr>
          <w:rFonts w:eastAsia="Times New Roman"/>
          <w:szCs w:val="20"/>
          <w:lang w:eastAsia="en-US"/>
        </w:rPr>
      </w:pPr>
    </w:p>
    <w:p w14:paraId="238393CE" w14:textId="06300055" w:rsidR="009D2549" w:rsidRPr="008252AC" w:rsidRDefault="009D2549">
      <w:pPr>
        <w:numPr>
          <w:ilvl w:val="0"/>
          <w:numId w:val="1"/>
        </w:numPr>
        <w:contextualSpacing/>
        <w:rPr>
          <w:rFonts w:eastAsia="Times New Roman"/>
          <w:b/>
          <w:szCs w:val="20"/>
          <w:lang w:eastAsia="en-US"/>
        </w:rPr>
      </w:pPr>
      <w:r w:rsidRPr="008252AC">
        <w:rPr>
          <w:rFonts w:eastAsia="Times New Roman"/>
          <w:szCs w:val="20"/>
          <w:lang w:eastAsia="en-US"/>
        </w:rPr>
        <w:t>Aftan á § 26 verður sett:</w:t>
      </w:r>
    </w:p>
    <w:p w14:paraId="7A897C6A" w14:textId="77777777" w:rsidR="005251F6" w:rsidRPr="008252AC" w:rsidRDefault="005251F6" w:rsidP="00446403">
      <w:pPr>
        <w:ind w:left="360"/>
        <w:contextualSpacing/>
        <w:rPr>
          <w:rFonts w:eastAsia="Times New Roman"/>
          <w:b/>
          <w:szCs w:val="20"/>
          <w:lang w:eastAsia="en-US"/>
        </w:rPr>
      </w:pPr>
    </w:p>
    <w:p w14:paraId="09CA0A66" w14:textId="77777777" w:rsidR="009D2549" w:rsidRPr="008252AC" w:rsidRDefault="009D2549" w:rsidP="00446403">
      <w:pPr>
        <w:ind w:left="360"/>
        <w:jc w:val="center"/>
        <w:rPr>
          <w:rFonts w:eastAsia="Times New Roman"/>
          <w:i/>
          <w:szCs w:val="20"/>
          <w:lang w:eastAsia="en-US"/>
        </w:rPr>
      </w:pPr>
      <w:r w:rsidRPr="008252AC">
        <w:rPr>
          <w:rFonts w:eastAsia="Times New Roman"/>
          <w:szCs w:val="20"/>
          <w:lang w:eastAsia="en-US"/>
        </w:rPr>
        <w:t>“</w:t>
      </w:r>
      <w:r w:rsidRPr="008252AC">
        <w:rPr>
          <w:rFonts w:eastAsia="Times New Roman"/>
          <w:i/>
          <w:szCs w:val="20"/>
          <w:lang w:eastAsia="en-US"/>
        </w:rPr>
        <w:t>Innheinting av skuld</w:t>
      </w:r>
    </w:p>
    <w:p w14:paraId="6BDFABC1" w14:textId="77777777" w:rsidR="009D2549" w:rsidRPr="008252AC" w:rsidRDefault="009D2549" w:rsidP="00446403">
      <w:pPr>
        <w:ind w:left="360"/>
        <w:rPr>
          <w:rFonts w:eastAsia="Times New Roman"/>
          <w:szCs w:val="20"/>
          <w:lang w:eastAsia="en-US"/>
        </w:rPr>
      </w:pPr>
      <w:r w:rsidRPr="008252AC">
        <w:rPr>
          <w:rFonts w:eastAsia="Times New Roman"/>
          <w:b/>
          <w:szCs w:val="20"/>
          <w:lang w:eastAsia="en-US"/>
        </w:rPr>
        <w:t xml:space="preserve">§ 26 a. </w:t>
      </w:r>
      <w:r w:rsidRPr="008252AC">
        <w:rPr>
          <w:rFonts w:eastAsia="Times New Roman"/>
          <w:szCs w:val="20"/>
          <w:lang w:eastAsia="en-US"/>
        </w:rPr>
        <w:t>Heilsutrygdargjald og renta, ið er fallið til gjaldingar, kann verða innheintað við panting.</w:t>
      </w:r>
    </w:p>
    <w:p w14:paraId="7ECD0864" w14:textId="77777777" w:rsidR="009D2549" w:rsidRPr="008252AC" w:rsidRDefault="009D2549" w:rsidP="00446403">
      <w:pPr>
        <w:ind w:left="360"/>
        <w:rPr>
          <w:rFonts w:eastAsia="Times New Roman"/>
          <w:szCs w:val="20"/>
          <w:lang w:eastAsia="en-US"/>
        </w:rPr>
      </w:pPr>
      <w:r w:rsidRPr="008252AC">
        <w:rPr>
          <w:rFonts w:eastAsia="Times New Roman"/>
          <w:i/>
          <w:szCs w:val="20"/>
          <w:lang w:eastAsia="en-US"/>
        </w:rPr>
        <w:t>Stk. 2.</w:t>
      </w:r>
      <w:r w:rsidRPr="008252AC">
        <w:rPr>
          <w:rFonts w:eastAsia="Times New Roman"/>
          <w:szCs w:val="20"/>
          <w:lang w:eastAsia="en-US"/>
        </w:rPr>
        <w:t xml:space="preserve"> TAKS fremur panting fyri heilsutrygdargjald og skuldskrivaða </w:t>
      </w:r>
      <w:r w:rsidRPr="008252AC">
        <w:rPr>
          <w:rFonts w:eastAsia="Times New Roman"/>
          <w:szCs w:val="20"/>
          <w:lang w:eastAsia="en-US"/>
        </w:rPr>
        <w:t>rentu eftir stk. 1, eftir reglunum fyri innkrevjing av skattum.</w:t>
      </w:r>
    </w:p>
    <w:p w14:paraId="1AC7D925" w14:textId="77777777" w:rsidR="009D2549" w:rsidRPr="008252AC" w:rsidRDefault="009D2549" w:rsidP="00446403">
      <w:pPr>
        <w:ind w:left="360"/>
        <w:rPr>
          <w:rFonts w:eastAsia="Times New Roman"/>
          <w:szCs w:val="20"/>
          <w:lang w:eastAsia="en-US"/>
        </w:rPr>
      </w:pPr>
      <w:r w:rsidRPr="008252AC">
        <w:rPr>
          <w:rFonts w:eastAsia="Times New Roman"/>
          <w:i/>
          <w:szCs w:val="20"/>
          <w:lang w:eastAsia="en-US"/>
        </w:rPr>
        <w:t>Stk. 3.</w:t>
      </w:r>
      <w:r w:rsidRPr="008252AC">
        <w:rPr>
          <w:rFonts w:eastAsia="Times New Roman"/>
          <w:szCs w:val="20"/>
          <w:lang w:eastAsia="en-US"/>
        </w:rPr>
        <w:t xml:space="preserve"> Heimilað verður TAKS at </w:t>
      </w:r>
    </w:p>
    <w:p w14:paraId="7FE21ACF" w14:textId="77777777" w:rsidR="009D2549" w:rsidRPr="008252AC" w:rsidRDefault="009D2549" w:rsidP="00EC0026">
      <w:pPr>
        <w:ind w:left="360"/>
        <w:rPr>
          <w:rFonts w:eastAsia="Times New Roman"/>
          <w:szCs w:val="20"/>
          <w:lang w:eastAsia="en-US"/>
        </w:rPr>
      </w:pPr>
      <w:r w:rsidRPr="008252AC">
        <w:rPr>
          <w:rFonts w:eastAsia="Times New Roman"/>
          <w:szCs w:val="20"/>
          <w:lang w:eastAsia="en-US"/>
        </w:rPr>
        <w:t xml:space="preserve">innkrevja skuld og </w:t>
      </w:r>
    </w:p>
    <w:p w14:paraId="202B6426" w14:textId="77777777" w:rsidR="009D2549" w:rsidRPr="008252AC" w:rsidRDefault="009D2549" w:rsidP="00446403">
      <w:pPr>
        <w:ind w:left="360"/>
        <w:rPr>
          <w:rFonts w:eastAsia="Times New Roman"/>
          <w:szCs w:val="20"/>
          <w:lang w:eastAsia="en-US"/>
        </w:rPr>
      </w:pPr>
      <w:r w:rsidRPr="008252AC">
        <w:rPr>
          <w:rFonts w:eastAsia="Times New Roman"/>
          <w:szCs w:val="20"/>
          <w:lang w:eastAsia="en-US"/>
        </w:rPr>
        <w:t>innkrevjingarkostnað sambært hesi løgtingslóg við at afturhalda í A-inntøku hjá teimum gjaldskyldugu sambært reglunum um hetta í Skattalógini.”</w:t>
      </w:r>
    </w:p>
    <w:p w14:paraId="3BADBD7A" w14:textId="77777777" w:rsidR="009D2549" w:rsidRPr="008252AC" w:rsidRDefault="009D2549" w:rsidP="009D2549">
      <w:pPr>
        <w:jc w:val="both"/>
        <w:rPr>
          <w:rFonts w:eastAsia="Times New Roman"/>
          <w:b/>
          <w:szCs w:val="20"/>
          <w:lang w:eastAsia="en-US"/>
        </w:rPr>
      </w:pPr>
    </w:p>
    <w:p w14:paraId="134AC997" w14:textId="77777777" w:rsidR="009D2549" w:rsidRPr="008252AC" w:rsidRDefault="009D2549" w:rsidP="009D2549">
      <w:pPr>
        <w:jc w:val="center"/>
        <w:rPr>
          <w:rFonts w:eastAsia="Times New Roman"/>
          <w:b/>
          <w:szCs w:val="20"/>
          <w:lang w:eastAsia="en-US"/>
        </w:rPr>
      </w:pPr>
      <w:r w:rsidRPr="008252AC">
        <w:rPr>
          <w:rFonts w:eastAsia="Times New Roman"/>
          <w:b/>
          <w:szCs w:val="20"/>
          <w:lang w:eastAsia="en-US"/>
        </w:rPr>
        <w:t>§ 2</w:t>
      </w:r>
    </w:p>
    <w:p w14:paraId="37245848" w14:textId="77777777" w:rsidR="009D2549" w:rsidRPr="008252AC" w:rsidRDefault="009D2549" w:rsidP="009D2549">
      <w:pPr>
        <w:jc w:val="both"/>
        <w:rPr>
          <w:rFonts w:eastAsia="Times New Roman"/>
          <w:b/>
          <w:szCs w:val="20"/>
          <w:lang w:eastAsia="en-US"/>
        </w:rPr>
      </w:pPr>
    </w:p>
    <w:p w14:paraId="085BA55D" w14:textId="0B2A2E39" w:rsidR="009D2549" w:rsidRPr="008252AC" w:rsidRDefault="009D2549" w:rsidP="009D2549">
      <w:pPr>
        <w:rPr>
          <w:rFonts w:eastAsia="Times New Roman"/>
          <w:b/>
          <w:szCs w:val="20"/>
          <w:lang w:eastAsia="en-US"/>
        </w:rPr>
      </w:pPr>
      <w:r w:rsidRPr="008252AC">
        <w:rPr>
          <w:rFonts w:eastAsia="Times New Roman"/>
          <w:szCs w:val="20"/>
          <w:lang w:eastAsia="en-US"/>
        </w:rPr>
        <w:t xml:space="preserve">Henda løgtingslóg kemur í gildi </w:t>
      </w:r>
      <w:r w:rsidR="00446403" w:rsidRPr="008252AC">
        <w:rPr>
          <w:rFonts w:eastAsia="Times New Roman"/>
          <w:szCs w:val="20"/>
          <w:lang w:eastAsia="en-US"/>
        </w:rPr>
        <w:t xml:space="preserve">1. </w:t>
      </w:r>
      <w:r w:rsidR="00914C13" w:rsidRPr="008252AC">
        <w:rPr>
          <w:rFonts w:eastAsia="Times New Roman"/>
          <w:szCs w:val="20"/>
          <w:lang w:eastAsia="en-US"/>
        </w:rPr>
        <w:t>juli</w:t>
      </w:r>
      <w:r w:rsidR="00446403" w:rsidRPr="008252AC">
        <w:rPr>
          <w:rFonts w:eastAsia="Times New Roman"/>
          <w:szCs w:val="20"/>
          <w:lang w:eastAsia="en-US"/>
        </w:rPr>
        <w:t xml:space="preserve"> 2024.</w:t>
      </w:r>
    </w:p>
    <w:p w14:paraId="7B503E22" w14:textId="3EE3A725" w:rsidR="00DD5760" w:rsidRPr="008252AC" w:rsidRDefault="00DD5760" w:rsidP="009D2549"/>
    <w:p w14:paraId="506C9EA1" w14:textId="77777777" w:rsidR="00532AF3" w:rsidRPr="008252AC" w:rsidRDefault="00532AF3" w:rsidP="00DD5760">
      <w:pPr>
        <w:rPr>
          <w:szCs w:val="24"/>
        </w:rPr>
      </w:pPr>
    </w:p>
    <w:p w14:paraId="720E5F20" w14:textId="77777777" w:rsidR="00532AF3" w:rsidRPr="008252AC" w:rsidRDefault="00532AF3" w:rsidP="00DD5760">
      <w:pPr>
        <w:rPr>
          <w:b/>
          <w:szCs w:val="24"/>
        </w:rPr>
        <w:sectPr w:rsidR="00532AF3" w:rsidRPr="008252AC" w:rsidSect="00532AF3">
          <w:type w:val="continuous"/>
          <w:pgSz w:w="11906" w:h="16838"/>
          <w:pgMar w:top="1440" w:right="1440" w:bottom="1440" w:left="1440" w:header="709" w:footer="709" w:gutter="0"/>
          <w:cols w:num="2" w:space="708"/>
          <w:docGrid w:linePitch="360"/>
        </w:sectPr>
      </w:pPr>
    </w:p>
    <w:p w14:paraId="2C644A42" w14:textId="77777777" w:rsidR="00532AF3" w:rsidRPr="008252AC" w:rsidRDefault="00532AF3" w:rsidP="00DD5760">
      <w:pPr>
        <w:rPr>
          <w:b/>
          <w:szCs w:val="24"/>
        </w:rPr>
      </w:pPr>
    </w:p>
    <w:p w14:paraId="4D8B3E08" w14:textId="28E92407" w:rsidR="009D2549" w:rsidRPr="008252AC" w:rsidRDefault="00532AF3" w:rsidP="009D2549">
      <w:pPr>
        <w:rPr>
          <w:b/>
          <w:szCs w:val="24"/>
        </w:rPr>
      </w:pPr>
      <w:r w:rsidRPr="008252AC">
        <w:rPr>
          <w:b/>
          <w:szCs w:val="24"/>
        </w:rPr>
        <w:br w:type="page"/>
      </w:r>
    </w:p>
    <w:p w14:paraId="2EAE552D" w14:textId="77777777" w:rsidR="009D2549" w:rsidRPr="008252AC" w:rsidRDefault="009D2549" w:rsidP="009D2549">
      <w:pPr>
        <w:rPr>
          <w:b/>
          <w:szCs w:val="24"/>
        </w:rPr>
      </w:pPr>
      <w:r w:rsidRPr="008252AC">
        <w:rPr>
          <w:b/>
          <w:szCs w:val="24"/>
        </w:rPr>
        <w:lastRenderedPageBreak/>
        <w:t>Kapittul 1. Almennar viðmerkingar</w:t>
      </w:r>
    </w:p>
    <w:p w14:paraId="710672D1" w14:textId="77777777" w:rsidR="009D2549" w:rsidRPr="008252AC" w:rsidRDefault="009D2549" w:rsidP="009D2549">
      <w:pPr>
        <w:jc w:val="both"/>
        <w:rPr>
          <w:b/>
          <w:szCs w:val="24"/>
        </w:rPr>
      </w:pPr>
    </w:p>
    <w:p w14:paraId="1F6FA31B" w14:textId="77777777" w:rsidR="009D2549" w:rsidRPr="008252AC" w:rsidRDefault="009D2549" w:rsidP="009D2549">
      <w:pPr>
        <w:jc w:val="both"/>
        <w:rPr>
          <w:b/>
          <w:szCs w:val="24"/>
        </w:rPr>
      </w:pPr>
    </w:p>
    <w:p w14:paraId="18D0FAEF" w14:textId="77777777" w:rsidR="009D2549" w:rsidRPr="008252AC" w:rsidRDefault="009D2549" w:rsidP="009D2549">
      <w:pPr>
        <w:rPr>
          <w:b/>
          <w:szCs w:val="24"/>
        </w:rPr>
      </w:pPr>
      <w:r w:rsidRPr="008252AC">
        <w:rPr>
          <w:b/>
          <w:szCs w:val="24"/>
        </w:rPr>
        <w:t>1.1. Orsakir til uppskotið</w:t>
      </w:r>
    </w:p>
    <w:p w14:paraId="2437582D" w14:textId="77777777" w:rsidR="009D2549" w:rsidRPr="008252AC" w:rsidRDefault="009D2549" w:rsidP="009D2549">
      <w:pPr>
        <w:jc w:val="both"/>
        <w:rPr>
          <w:szCs w:val="24"/>
        </w:rPr>
      </w:pPr>
      <w:r w:rsidRPr="008252AC">
        <w:rPr>
          <w:szCs w:val="24"/>
        </w:rPr>
        <w:t xml:space="preserve">Endamálið við hesum lógaruppskoti er at fáa samsvar ímillum Heilsutrygdarlógina og Nordisk Konvention om Social Sikring viðvíkjandi heilsutrygdargjaldi. Sambært lógaruppskotinum kunnu borgarar, ið rinda heilsutrygdargjald í øðrum Norðanlandi og sum ikki kunnu fáa frádrátt vísandi til skattalógina, við umsókn fáa undantak fyri at rinda heilsutrygdargjald. Hinvegin missir borgarin ikki rættindi til at fáa veitingar sambært § 1 í lógini. </w:t>
      </w:r>
    </w:p>
    <w:p w14:paraId="7A3E7668" w14:textId="77777777" w:rsidR="009D2549" w:rsidRPr="008252AC" w:rsidRDefault="009D2549" w:rsidP="009D2549">
      <w:pPr>
        <w:jc w:val="both"/>
        <w:rPr>
          <w:szCs w:val="24"/>
        </w:rPr>
      </w:pPr>
    </w:p>
    <w:p w14:paraId="49517F99" w14:textId="767600A5" w:rsidR="009D2549" w:rsidRPr="008252AC" w:rsidRDefault="009D2549" w:rsidP="009D2549">
      <w:pPr>
        <w:jc w:val="both"/>
        <w:rPr>
          <w:szCs w:val="24"/>
        </w:rPr>
      </w:pPr>
      <w:r w:rsidRPr="008252AC">
        <w:rPr>
          <w:szCs w:val="24"/>
        </w:rPr>
        <w:t xml:space="preserve">Sambært Nordisk Konvention om Social Sikring hevur ein borgari ikki skyldu at rinda til sosiala skipan í meira enn einum landi, sum er fevnt av konventiónini. Tá føroyingur tí rindar til aðra sosiala skipan sum t.d. Folketrygd í Norra, hevur hann ikki eisini skyldu til at rinda heilsutrygdargjald í Føroyum. Hetta er í andsøgn við galdandi heilsutrygdarlóg, sum í § 24 ásetur, at øll, ið hava fylt 18 ár, og sum eru fevnd av lógini, gjalda 175 kr. um mánaðin umframt 0,70 % av skattskyldugu inntøku sínari til Heilsutrygd. Heilsutrygd hevur fylgt heilsutrygdarlógini og sostatt kravt heilsutrygdargjald sambært </w:t>
      </w:r>
      <w:r w:rsidR="007C759C" w:rsidRPr="008252AC">
        <w:rPr>
          <w:szCs w:val="24"/>
        </w:rPr>
        <w:t>løgtings</w:t>
      </w:r>
      <w:r w:rsidRPr="008252AC">
        <w:rPr>
          <w:szCs w:val="24"/>
        </w:rPr>
        <w:t>lógini; t.v.s. eisini frá borgarum búsitandi í Føroyum, sum arbeiða og rinda til sosiala skipan í øðrum Norðanlandi.</w:t>
      </w:r>
    </w:p>
    <w:p w14:paraId="5698E852" w14:textId="6F943863" w:rsidR="009D2549" w:rsidRPr="008252AC" w:rsidRDefault="009D2549" w:rsidP="009D2549">
      <w:pPr>
        <w:jc w:val="both"/>
        <w:rPr>
          <w:szCs w:val="24"/>
        </w:rPr>
      </w:pPr>
      <w:r w:rsidRPr="008252AC">
        <w:rPr>
          <w:szCs w:val="24"/>
        </w:rPr>
        <w:t xml:space="preserve">Henda mannagongd hjá Heilsutrygd bleiv kærd til táverandi Kærunevnd í almanna- og heilsumálum, sum í november 2014 kom til ta niðurstøðu, at ein norðurlendingur sambært konventiónini bert kann verða kravdur eftir heilsutrygdargjaldi í einum limalandi, meðan tað sambært kærunevndini er ógreitt, eftir hvørjari limalandslóg gjald skal krevjast. Kærunevndin heimvísti tí </w:t>
      </w:r>
      <w:r w:rsidR="007C759C" w:rsidRPr="008252AC">
        <w:rPr>
          <w:szCs w:val="24"/>
        </w:rPr>
        <w:t xml:space="preserve">málið </w:t>
      </w:r>
      <w:r w:rsidRPr="008252AC">
        <w:rPr>
          <w:szCs w:val="24"/>
        </w:rPr>
        <w:t>til nýggja viðgerð. Heilsutrygd boðaði táverandi Heilsu- og innlendismálaráðnum frá, at Heilsutrygd tók avgerðina hjá kærunevndini til eftirtektar, men metti samstundis, at talan var um eitt heldur fløkt mál. Ósamsvar er millum heilsutrygdarlógina, sum Heilsutrygd umsitur og norðurlendsku konventiónina, og harvið eisini í hvønn mun viðkomandi borgarar hava rætt til at krevja inngoldna peningin aftur frá Heilsutrygd.</w:t>
      </w:r>
    </w:p>
    <w:p w14:paraId="43158687" w14:textId="77777777" w:rsidR="009D2549" w:rsidRPr="008252AC" w:rsidRDefault="009D2549" w:rsidP="009D2549">
      <w:pPr>
        <w:jc w:val="both"/>
        <w:rPr>
          <w:szCs w:val="24"/>
        </w:rPr>
      </w:pPr>
    </w:p>
    <w:p w14:paraId="2BD6C2BC" w14:textId="77777777" w:rsidR="009D2549" w:rsidRPr="008252AC" w:rsidRDefault="009D2549" w:rsidP="009D2549">
      <w:pPr>
        <w:jc w:val="both"/>
        <w:rPr>
          <w:szCs w:val="24"/>
        </w:rPr>
      </w:pPr>
      <w:r w:rsidRPr="008252AC">
        <w:rPr>
          <w:szCs w:val="24"/>
        </w:rPr>
        <w:t>Sambært § 55 í stýrisskipanarlógini hevur løgtingslóg, ella partur av løgtingslóg, ikki gildi, um hon gongur ímóti millumtjóðasáttmála, sum heimastýrið hevur gjørt við onnur lond, og sum eisini fevnir um Føroyar. Táverandi heilsu- og innlendismálaráðið metti, at heilsutrygdarlógin var í stríð við altjóða sáttmála, sum Løgtingið hevur samtykt, og tí legði táverandi landsstýrisfólk í heilsu- og innlendismálum lógaruppskot fyri Løgtingið um at broyta heilsutrygdarlógina, soleiðis at samsvar kundi fáast ímillum heilsutrygdarlógina og Nordisk konvention om social sikring. Sambært lógaruppskotinum kundi borgarin í ávísum førum blíva undantikin frá at rinda heilsutrygdargjald sambært § 24, men samstundis missir borgarin ikki rættindini til at fáa veitingar sambært § 1 í lógini. Lógaruppskotið fall tó burtur, og sostatt er tað enn ósamsvar millum heilsutrygdarlógina og Nordisk konvention om social sikring.</w:t>
      </w:r>
    </w:p>
    <w:p w14:paraId="68F96A08" w14:textId="77777777" w:rsidR="009D2549" w:rsidRPr="008252AC" w:rsidRDefault="009D2549" w:rsidP="009D2549">
      <w:pPr>
        <w:jc w:val="both"/>
        <w:rPr>
          <w:szCs w:val="24"/>
        </w:rPr>
      </w:pPr>
    </w:p>
    <w:p w14:paraId="4365968A" w14:textId="77777777" w:rsidR="009D2549" w:rsidRPr="008252AC" w:rsidRDefault="009D2549" w:rsidP="009D2549">
      <w:pPr>
        <w:jc w:val="both"/>
        <w:rPr>
          <w:i/>
          <w:iCs/>
          <w:szCs w:val="24"/>
        </w:rPr>
      </w:pPr>
      <w:r w:rsidRPr="008252AC">
        <w:rPr>
          <w:i/>
          <w:iCs/>
          <w:szCs w:val="24"/>
        </w:rPr>
        <w:t>Rættarmálið hjá “útisiglarunum” móti Heilsutrygd  (stutt og einfaldað versión)</w:t>
      </w:r>
    </w:p>
    <w:p w14:paraId="2B4CF99C" w14:textId="244426E7" w:rsidR="009D2549" w:rsidRPr="008252AC" w:rsidRDefault="009D2549" w:rsidP="009D2549">
      <w:pPr>
        <w:jc w:val="both"/>
        <w:rPr>
          <w:szCs w:val="24"/>
        </w:rPr>
      </w:pPr>
      <w:r w:rsidRPr="008252AC">
        <w:rPr>
          <w:szCs w:val="24"/>
        </w:rPr>
        <w:t xml:space="preserve">Kærunevndin í almanna-, familju- og heilsumálum hevur givið borgarum, ið sigla við skipi undir norskum flaggi, viðhald í at Heilsutrygd av órøttum hevur kravt inn heilsutrygdargjald frá útisiglarum, ið eru fevndir av Nordisk konvention om social sikring. Heilsutrygd hevur tó ikki afturgoldið útisiglarum heilsutrygdargjald við tað, at Heilsutrygd vísur á, at tað er greitt ásett í § 24, stk. </w:t>
      </w:r>
      <w:r w:rsidR="007D317A" w:rsidRPr="008252AC">
        <w:rPr>
          <w:szCs w:val="24"/>
        </w:rPr>
        <w:t>1</w:t>
      </w:r>
      <w:r w:rsidRPr="008252AC">
        <w:rPr>
          <w:szCs w:val="24"/>
        </w:rPr>
        <w:t xml:space="preserve"> í heilsutrygdarlógini, at øll</w:t>
      </w:r>
      <w:r w:rsidR="0008533D" w:rsidRPr="008252AC">
        <w:rPr>
          <w:szCs w:val="24"/>
        </w:rPr>
        <w:t xml:space="preserve"> yvir 18 ár,</w:t>
      </w:r>
      <w:r w:rsidRPr="008252AC">
        <w:rPr>
          <w:szCs w:val="24"/>
        </w:rPr>
        <w:t xml:space="preserve"> ið eru búsitandi í Føroyum, skulu gjalda heilsutrygdargjald. Málið um afturrindan av heilsutrygdargjaldi endaði í Føroya Rætti á heysti 2021, har rætturin kom til ta niðurstøðu, at Heilsutrygd ikki hevur lógarheimild til at krevja heilsutrygdargjald frá persónum, ið longu hava goldið eitt gjald til eina sosiala skipan í einum øðrum landi, ið er  fevnt av Nordisk konvention om social sikring. Málið bleiv síðani kært til Eystara Landsrætt, ið staðfesti dómin hjá Føroya Rætti. Heilsutrygd hevur í samráð við </w:t>
      </w:r>
      <w:r w:rsidRPr="008252AC">
        <w:rPr>
          <w:szCs w:val="24"/>
        </w:rPr>
        <w:lastRenderedPageBreak/>
        <w:t>sakførara avgjørt, umvegis Kamaradvokatin, at senda umsókn til Procesbevillingsnævnet um at fáa málið roynt í Hægsta Rætti.</w:t>
      </w:r>
    </w:p>
    <w:p w14:paraId="4310A878" w14:textId="77777777" w:rsidR="009D2549" w:rsidRPr="008252AC" w:rsidRDefault="009D2549" w:rsidP="009D2549">
      <w:pPr>
        <w:jc w:val="both"/>
        <w:rPr>
          <w:szCs w:val="24"/>
        </w:rPr>
      </w:pPr>
    </w:p>
    <w:p w14:paraId="711BD26A" w14:textId="77777777" w:rsidR="009D2549" w:rsidRPr="008252AC" w:rsidRDefault="009D2549" w:rsidP="009D2549">
      <w:pPr>
        <w:rPr>
          <w:b/>
          <w:szCs w:val="24"/>
        </w:rPr>
      </w:pPr>
      <w:r w:rsidRPr="008252AC">
        <w:rPr>
          <w:b/>
          <w:szCs w:val="24"/>
        </w:rPr>
        <w:t>1.2. Galdandi lóggáva</w:t>
      </w:r>
    </w:p>
    <w:p w14:paraId="53643002" w14:textId="659525FC" w:rsidR="009D2549" w:rsidRPr="008252AC" w:rsidRDefault="009D2549" w:rsidP="009D2549">
      <w:pPr>
        <w:jc w:val="both"/>
        <w:rPr>
          <w:szCs w:val="24"/>
        </w:rPr>
      </w:pPr>
      <w:r w:rsidRPr="008252AC">
        <w:rPr>
          <w:szCs w:val="24"/>
        </w:rPr>
        <w:t>Sambært § 24 í Heilsutrygdarlógini skulu øll, sum eru fylt 18 ár, og sum eru fevnd av lógini. gjalda 175 kr. um mánaðin umframt 0,70 % av skattskyldugu inntøku sínari til Heilsutrygd.</w:t>
      </w:r>
      <w:r w:rsidRPr="008252AC">
        <w:t xml:space="preserve"> </w:t>
      </w:r>
      <w:r w:rsidRPr="008252AC">
        <w:rPr>
          <w:szCs w:val="24"/>
        </w:rPr>
        <w:t>Heilsutrygd hevur fylgt heilsutrygdarlógini og sostatt kravt heilsutrygdargjald sambært lógini;</w:t>
      </w:r>
      <w:r w:rsidR="0008533D" w:rsidRPr="008252AC">
        <w:rPr>
          <w:szCs w:val="24"/>
        </w:rPr>
        <w:t xml:space="preserve"> </w:t>
      </w:r>
      <w:r w:rsidRPr="008252AC">
        <w:rPr>
          <w:szCs w:val="24"/>
        </w:rPr>
        <w:t>t.v.s. eisini frá borgarum búsitandi í Føroyum, sum arbeiða og rinda til sosiala skipan í øðrum Norðanlandi.</w:t>
      </w:r>
      <w:r w:rsidR="007D317A" w:rsidRPr="008252AC">
        <w:rPr>
          <w:szCs w:val="24"/>
        </w:rPr>
        <w:t xml:space="preserve"> Í galdandi løgtingslóg er ongin heimild hjá Heilsutrygd at gera undantak frá gjaldsskylduni. </w:t>
      </w:r>
      <w:r w:rsidRPr="008252AC">
        <w:rPr>
          <w:szCs w:val="24"/>
        </w:rPr>
        <w:t xml:space="preserve">Hetta er ikki í samsvar við Nordisk konvention om social sikring, og tí er neyðugt við lógarbroyting í heilsutrygdarlógini. </w:t>
      </w:r>
    </w:p>
    <w:p w14:paraId="226518D6" w14:textId="77777777" w:rsidR="009D2549" w:rsidRPr="008252AC" w:rsidRDefault="009D2549" w:rsidP="009D2549">
      <w:pPr>
        <w:jc w:val="both"/>
        <w:rPr>
          <w:b/>
          <w:szCs w:val="24"/>
        </w:rPr>
      </w:pPr>
    </w:p>
    <w:p w14:paraId="1B767DF8" w14:textId="77777777" w:rsidR="009D2549" w:rsidRPr="008252AC" w:rsidRDefault="009D2549" w:rsidP="009D2549">
      <w:pPr>
        <w:rPr>
          <w:b/>
          <w:szCs w:val="24"/>
        </w:rPr>
      </w:pPr>
      <w:r w:rsidRPr="008252AC">
        <w:rPr>
          <w:b/>
          <w:szCs w:val="24"/>
        </w:rPr>
        <w:t>1.3. Endamálið við uppskotinum</w:t>
      </w:r>
    </w:p>
    <w:p w14:paraId="2BCB5DB9" w14:textId="25474FE1" w:rsidR="009D2549" w:rsidRPr="008252AC" w:rsidRDefault="009D2549" w:rsidP="009D2549">
      <w:pPr>
        <w:jc w:val="both"/>
        <w:rPr>
          <w:szCs w:val="24"/>
        </w:rPr>
      </w:pPr>
      <w:r w:rsidRPr="008252AC">
        <w:rPr>
          <w:szCs w:val="24"/>
        </w:rPr>
        <w:t>Yvirskipaða endamálið við lógaruppskotinum er at fáa samsvar millum Heilsutrygdarlógina og Nordisk Konvention om Social Sikring. Við lógaruppskotinum kunnu føroyingar, ið gjalda til sosiala skipan í øðrum norðurlandi, ið er fevnt av Nordisk konvention om social sikring, søkja Heilsutrygd um at sleppa undan gjalds</w:t>
      </w:r>
      <w:r w:rsidR="007D317A" w:rsidRPr="008252AC">
        <w:rPr>
          <w:szCs w:val="24"/>
        </w:rPr>
        <w:t>skylduni</w:t>
      </w:r>
      <w:r w:rsidR="00C85A26" w:rsidRPr="008252AC">
        <w:rPr>
          <w:szCs w:val="24"/>
        </w:rPr>
        <w:t xml:space="preserve"> </w:t>
      </w:r>
      <w:r w:rsidRPr="008252AC">
        <w:rPr>
          <w:szCs w:val="24"/>
        </w:rPr>
        <w:t>í § 24 í galdandi Heilsutrygdarlóg, men missa tó ikki rættindi til at fáa veitingar sambært § 1 í lógini.</w:t>
      </w:r>
    </w:p>
    <w:p w14:paraId="67748FB8" w14:textId="77777777" w:rsidR="009D2549" w:rsidRPr="008252AC" w:rsidRDefault="009D2549" w:rsidP="009D2549">
      <w:pPr>
        <w:jc w:val="both"/>
        <w:rPr>
          <w:b/>
          <w:szCs w:val="24"/>
        </w:rPr>
      </w:pPr>
    </w:p>
    <w:p w14:paraId="7DBA7B1A" w14:textId="77777777" w:rsidR="009D2549" w:rsidRPr="008252AC" w:rsidRDefault="009D2549" w:rsidP="009D2549">
      <w:pPr>
        <w:rPr>
          <w:b/>
          <w:szCs w:val="24"/>
        </w:rPr>
      </w:pPr>
      <w:r w:rsidRPr="008252AC">
        <w:rPr>
          <w:b/>
          <w:szCs w:val="24"/>
        </w:rPr>
        <w:t>1.4. Samandráttur av nýskipanini við uppskotinum</w:t>
      </w:r>
    </w:p>
    <w:p w14:paraId="76119EE9" w14:textId="77777777" w:rsidR="009D2549" w:rsidRPr="008252AC" w:rsidRDefault="009D2549" w:rsidP="009D2549">
      <w:pPr>
        <w:jc w:val="both"/>
        <w:rPr>
          <w:szCs w:val="24"/>
        </w:rPr>
      </w:pPr>
      <w:r w:rsidRPr="008252AC">
        <w:rPr>
          <w:szCs w:val="24"/>
        </w:rPr>
        <w:t xml:space="preserve">Løgtingið hevur samtykt at fylgja Nordisk konvention om social sikring, og tí er tað eisini av stórum týdningi, at føroyska lóggávan verður tillaga soleiðis, at hon samsvarar við millumlanda sáttmálan. Við lógaruppskotinum kann ein føroyingur, ið arbeiðir í einum norðurlandi, ið er fevnt av Nordisk konvention om social sikring, søkja um gjaldsfrítøku frá § 24 í heilsutrygdarlógini. Hetta er ikki gjørligt við verandi lóggávu, og tí er ósamsvar millum Heilsutrygdarlógina og Nordisk konvention om social sikring ið sigur, at ein borgari bert hevur skyldu til at rinda til sosiala skipan í einum landi. </w:t>
      </w:r>
    </w:p>
    <w:p w14:paraId="1D0A4443" w14:textId="77777777" w:rsidR="009D2549" w:rsidRPr="008252AC" w:rsidRDefault="009D2549" w:rsidP="009D2549">
      <w:pPr>
        <w:jc w:val="both"/>
        <w:rPr>
          <w:b/>
          <w:szCs w:val="24"/>
        </w:rPr>
      </w:pPr>
    </w:p>
    <w:p w14:paraId="2DE97C4F" w14:textId="77777777" w:rsidR="009D2549" w:rsidRPr="008252AC" w:rsidRDefault="009D2549" w:rsidP="009D2549">
      <w:pPr>
        <w:rPr>
          <w:b/>
          <w:szCs w:val="24"/>
        </w:rPr>
      </w:pPr>
      <w:r w:rsidRPr="008252AC">
        <w:rPr>
          <w:b/>
          <w:szCs w:val="24"/>
        </w:rPr>
        <w:t>1.5. Ummæli og ummælisskjal</w:t>
      </w:r>
    </w:p>
    <w:p w14:paraId="71529E7D" w14:textId="47EA8E8E" w:rsidR="009D2549" w:rsidRPr="008252AC" w:rsidRDefault="009D2549" w:rsidP="009D2549">
      <w:pPr>
        <w:jc w:val="both"/>
        <w:rPr>
          <w:szCs w:val="24"/>
        </w:rPr>
      </w:pPr>
      <w:r w:rsidRPr="008252AC">
        <w:rPr>
          <w:szCs w:val="24"/>
        </w:rPr>
        <w:t xml:space="preserve">Av tí at lógaruppskotið hevur stóran skund, hevur lógaruppskotið ikki verið til hoyringar. </w:t>
      </w:r>
    </w:p>
    <w:p w14:paraId="09971FAB" w14:textId="77777777" w:rsidR="009D2549" w:rsidRPr="008252AC" w:rsidRDefault="009D2549" w:rsidP="009D2549">
      <w:pPr>
        <w:jc w:val="both"/>
        <w:rPr>
          <w:szCs w:val="24"/>
        </w:rPr>
      </w:pPr>
    </w:p>
    <w:p w14:paraId="05A69926" w14:textId="77777777" w:rsidR="009D2549" w:rsidRPr="008252AC" w:rsidRDefault="009D2549" w:rsidP="009D2549">
      <w:pPr>
        <w:jc w:val="both"/>
        <w:rPr>
          <w:szCs w:val="24"/>
        </w:rPr>
      </w:pPr>
      <w:r w:rsidRPr="008252AC">
        <w:rPr>
          <w:szCs w:val="24"/>
        </w:rPr>
        <w:br w:type="page"/>
      </w:r>
    </w:p>
    <w:p w14:paraId="634DF8DB" w14:textId="6D00FCFB" w:rsidR="009D2549" w:rsidRPr="008252AC" w:rsidRDefault="009D2549" w:rsidP="009D2549">
      <w:pPr>
        <w:rPr>
          <w:b/>
          <w:szCs w:val="24"/>
        </w:rPr>
      </w:pPr>
      <w:r w:rsidRPr="008252AC">
        <w:rPr>
          <w:b/>
          <w:szCs w:val="24"/>
        </w:rPr>
        <w:lastRenderedPageBreak/>
        <w:t>Kapittul 2. Avleiðingarnar av uppskotinum</w:t>
      </w:r>
    </w:p>
    <w:p w14:paraId="4150D049" w14:textId="77777777" w:rsidR="009D2549" w:rsidRDefault="009D2549" w:rsidP="009D2549">
      <w:pPr>
        <w:jc w:val="both"/>
        <w:rPr>
          <w:szCs w:val="24"/>
        </w:rPr>
      </w:pPr>
    </w:p>
    <w:p w14:paraId="68F3C61D" w14:textId="77777777" w:rsidR="008252AC" w:rsidRPr="008252AC" w:rsidRDefault="008252AC" w:rsidP="009D2549">
      <w:pPr>
        <w:jc w:val="both"/>
        <w:rPr>
          <w:szCs w:val="24"/>
        </w:rPr>
      </w:pPr>
    </w:p>
    <w:p w14:paraId="54535B7B" w14:textId="77777777" w:rsidR="009D2549" w:rsidRPr="008252AC" w:rsidRDefault="009D2549" w:rsidP="009D2549">
      <w:pPr>
        <w:rPr>
          <w:b/>
          <w:szCs w:val="24"/>
        </w:rPr>
      </w:pPr>
      <w:r w:rsidRPr="008252AC">
        <w:rPr>
          <w:b/>
          <w:szCs w:val="24"/>
        </w:rPr>
        <w:t>2.1. Fíggjarligar avleiðingar fyri land og kommunur</w:t>
      </w:r>
    </w:p>
    <w:p w14:paraId="1CE96B28" w14:textId="23127D07" w:rsidR="009D2549" w:rsidRPr="008252AC" w:rsidRDefault="009D2549" w:rsidP="009D2549">
      <w:pPr>
        <w:jc w:val="both"/>
        <w:rPr>
          <w:szCs w:val="24"/>
        </w:rPr>
      </w:pPr>
      <w:r w:rsidRPr="008252AC">
        <w:rPr>
          <w:szCs w:val="24"/>
        </w:rPr>
        <w:t>Tað er trupult at meta</w:t>
      </w:r>
      <w:r w:rsidR="00446403" w:rsidRPr="008252AC">
        <w:rPr>
          <w:szCs w:val="24"/>
        </w:rPr>
        <w:t xml:space="preserve"> nágreiniliga</w:t>
      </w:r>
      <w:r w:rsidRPr="008252AC">
        <w:rPr>
          <w:szCs w:val="24"/>
        </w:rPr>
        <w:t xml:space="preserve"> um, hvørjar fíggjarliga avleiðingar lógaruppskotið hevur. Hetta orsaka av, at tað í skrivandi stund ikki er møguligt at siga, hvussu nógvir føroyingar fara at søkja um undantak fyri at gjalda heilsutrygdargjald. </w:t>
      </w:r>
    </w:p>
    <w:p w14:paraId="41C09F78" w14:textId="77777777" w:rsidR="009D2549" w:rsidRPr="008252AC" w:rsidRDefault="009D2549" w:rsidP="009D2549">
      <w:pPr>
        <w:jc w:val="both"/>
        <w:rPr>
          <w:szCs w:val="24"/>
        </w:rPr>
      </w:pPr>
    </w:p>
    <w:p w14:paraId="15B29271" w14:textId="7DA72A8D" w:rsidR="009D2549" w:rsidRPr="008252AC" w:rsidRDefault="009D2549" w:rsidP="009D2549">
      <w:pPr>
        <w:jc w:val="both"/>
        <w:rPr>
          <w:szCs w:val="24"/>
        </w:rPr>
      </w:pPr>
      <w:r w:rsidRPr="008252AC">
        <w:rPr>
          <w:szCs w:val="24"/>
        </w:rPr>
        <w:t>Heilsutrygd hevur mett um fíggjarligu avleiðingarnar av uppskotinum til omanfyri nevndu lógarbroyting</w:t>
      </w:r>
      <w:r w:rsidR="00446403" w:rsidRPr="008252AC">
        <w:rPr>
          <w:szCs w:val="24"/>
        </w:rPr>
        <w:t xml:space="preserve"> við støði í upplýsingum frá TAKS</w:t>
      </w:r>
      <w:r w:rsidRPr="008252AC">
        <w:rPr>
          <w:szCs w:val="24"/>
        </w:rPr>
        <w:t>. Samlaða meti</w:t>
      </w:r>
      <w:r w:rsidR="00446403" w:rsidRPr="008252AC">
        <w:rPr>
          <w:szCs w:val="24"/>
        </w:rPr>
        <w:t xml:space="preserve">ngin </w:t>
      </w:r>
      <w:r w:rsidRPr="008252AC">
        <w:rPr>
          <w:szCs w:val="24"/>
        </w:rPr>
        <w:t xml:space="preserve"> vísir, at fíggjarligu avleiðingarnar av lógarbroytingini fara at verða umleið 3 mió. kr árliga. </w:t>
      </w:r>
    </w:p>
    <w:p w14:paraId="7EA8B657" w14:textId="77777777" w:rsidR="009D2549" w:rsidRPr="008252AC" w:rsidRDefault="009D2549" w:rsidP="009D2549">
      <w:pPr>
        <w:jc w:val="both"/>
        <w:rPr>
          <w:szCs w:val="24"/>
        </w:rPr>
      </w:pPr>
    </w:p>
    <w:p w14:paraId="296817C6" w14:textId="1118526B" w:rsidR="009D2549" w:rsidRPr="008252AC" w:rsidRDefault="009D2549" w:rsidP="009D2549">
      <w:pPr>
        <w:jc w:val="both"/>
        <w:rPr>
          <w:szCs w:val="24"/>
        </w:rPr>
      </w:pPr>
      <w:r w:rsidRPr="008252AC">
        <w:rPr>
          <w:szCs w:val="24"/>
        </w:rPr>
        <w:t>Metingin er grundað á talið av føroyingum, sum arbeiða á sjógvi og landi í Norra. Tað eru eisini føroyingar í øðrum Norðanlondum, men nógv teir flestu arbeiða í Norra. Heilsutrygd metir, at um allir føroyingar umborð á norskum skipum frameftir søkja um at verða undantiknir gjaldskyldu til Heilsutrygd, hevur tað væntandi við sær eina lækking í heilsutrygdarinngjøldum á umleið 2 mió. kr. árliga.</w:t>
      </w:r>
    </w:p>
    <w:p w14:paraId="1964DDA0" w14:textId="77777777" w:rsidR="009D2549" w:rsidRPr="008252AC" w:rsidRDefault="009D2549" w:rsidP="009D2549">
      <w:pPr>
        <w:jc w:val="both"/>
        <w:rPr>
          <w:szCs w:val="24"/>
        </w:rPr>
      </w:pPr>
    </w:p>
    <w:p w14:paraId="4D96FCAB" w14:textId="77777777" w:rsidR="009D2549" w:rsidRPr="008252AC" w:rsidRDefault="009D2549" w:rsidP="009D2549">
      <w:pPr>
        <w:jc w:val="both"/>
        <w:rPr>
          <w:szCs w:val="24"/>
        </w:rPr>
      </w:pPr>
      <w:r w:rsidRPr="008252AC">
        <w:rPr>
          <w:szCs w:val="24"/>
        </w:rPr>
        <w:t>Søkja allir føroyingar, sum arbeiða í Noregi á landi ella umborð á skipi, um at verða undantiknir gjaldskyldu til Heilsutrygd, vísa metingarnar, at tað hevur við sær eina lækking í inngjøldunum á umleið 3. mió. kr. árliga.</w:t>
      </w:r>
    </w:p>
    <w:p w14:paraId="0C405465" w14:textId="77777777" w:rsidR="00763F83" w:rsidRPr="008252AC" w:rsidRDefault="00763F83" w:rsidP="009D2549">
      <w:pPr>
        <w:jc w:val="both"/>
        <w:rPr>
          <w:szCs w:val="24"/>
        </w:rPr>
      </w:pPr>
    </w:p>
    <w:p w14:paraId="2B6B3BA2" w14:textId="0D169C11" w:rsidR="00763F83" w:rsidRPr="008252AC" w:rsidRDefault="00763F83" w:rsidP="009D2549">
      <w:pPr>
        <w:jc w:val="both"/>
        <w:rPr>
          <w:szCs w:val="24"/>
        </w:rPr>
      </w:pPr>
      <w:r w:rsidRPr="008252AC">
        <w:rPr>
          <w:szCs w:val="24"/>
        </w:rPr>
        <w:t xml:space="preserve">Heilsutrygd væntar, at tað fer at krevja umleið eitt ársverk at umsita og viðgera umsóknir um undantak fyri at rinda heilsutrygardargjald, og tann samlaði kostnaðurin av hesum er umleið 550.000-600.000 kr árliga. </w:t>
      </w:r>
    </w:p>
    <w:p w14:paraId="34681925" w14:textId="77777777" w:rsidR="009D2549" w:rsidRPr="008252AC" w:rsidRDefault="009D2549" w:rsidP="009D2549">
      <w:pPr>
        <w:jc w:val="both"/>
        <w:rPr>
          <w:szCs w:val="24"/>
        </w:rPr>
      </w:pPr>
    </w:p>
    <w:p w14:paraId="18995EEF" w14:textId="77777777" w:rsidR="009D2549" w:rsidRPr="008252AC" w:rsidRDefault="009D2549" w:rsidP="009D2549">
      <w:pPr>
        <w:rPr>
          <w:b/>
          <w:szCs w:val="24"/>
        </w:rPr>
      </w:pPr>
      <w:r w:rsidRPr="008252AC">
        <w:rPr>
          <w:b/>
          <w:szCs w:val="24"/>
        </w:rPr>
        <w:t>2.2. Umsitingarligar avleiðingar fyri land og kommunur</w:t>
      </w:r>
    </w:p>
    <w:p w14:paraId="6AA2DFC0" w14:textId="77777777" w:rsidR="000D2D57" w:rsidRPr="008252AC" w:rsidRDefault="009D2549" w:rsidP="000D2D57">
      <w:pPr>
        <w:jc w:val="both"/>
      </w:pPr>
      <w:r w:rsidRPr="008252AC">
        <w:rPr>
          <w:szCs w:val="24"/>
        </w:rPr>
        <w:t>Lógaruppskotið hevur umsitingarligar avleiðingar við sær fyri Heilsutrygd</w:t>
      </w:r>
      <w:r w:rsidR="000D2D57" w:rsidRPr="008252AC">
        <w:rPr>
          <w:szCs w:val="24"/>
        </w:rPr>
        <w:t>.</w:t>
      </w:r>
      <w:r w:rsidR="000D2D57" w:rsidRPr="008252AC">
        <w:t xml:space="preserve"> </w:t>
      </w:r>
    </w:p>
    <w:p w14:paraId="003BA09D" w14:textId="77777777" w:rsidR="000D2D57" w:rsidRPr="008252AC" w:rsidRDefault="000D2D57" w:rsidP="000D2D57">
      <w:pPr>
        <w:jc w:val="both"/>
      </w:pPr>
    </w:p>
    <w:p w14:paraId="4C342372" w14:textId="4606DC7E" w:rsidR="000D2D57" w:rsidRPr="008252AC" w:rsidRDefault="000D2D57" w:rsidP="000D2D57">
      <w:pPr>
        <w:jc w:val="both"/>
        <w:rPr>
          <w:szCs w:val="24"/>
        </w:rPr>
      </w:pPr>
      <w:r w:rsidRPr="008252AC">
        <w:rPr>
          <w:szCs w:val="24"/>
        </w:rPr>
        <w:t xml:space="preserve">Um Heilsutrygd skal málsviðgera umsóknir um at sleppa undan at rinda heilsutrygdargjald, hevur tað nógv fyrisitingarligt arbeiði við sær, og fer tað at krevja meira starvsfólkaorku Tað er torført at meta um, hvussu nógv arbeiði verður í hesum. Tað veldst m.a. um, hvussu nógvir borgarar fara at søkja um undantøku, og hvussu nógv arbeiði verður úr hvørjari umsókn. Tað kann t.d. hugsast, at sami persónur frá tíð til aðra skal verða undantikin heilsutrygdargjaldi. Við hesum fyritreytum, og teimum óvissum sum eru, væntar Heilsutrygd, at tað fer at krevja umleið 1 ársverk at umsita. </w:t>
      </w:r>
    </w:p>
    <w:p w14:paraId="2E3E8500" w14:textId="77777777" w:rsidR="009D2549" w:rsidRPr="008252AC" w:rsidRDefault="009D2549" w:rsidP="009D2549">
      <w:pPr>
        <w:jc w:val="both"/>
        <w:rPr>
          <w:szCs w:val="24"/>
        </w:rPr>
      </w:pPr>
    </w:p>
    <w:p w14:paraId="2F8109CC" w14:textId="77777777" w:rsidR="009D2549" w:rsidRPr="008252AC" w:rsidRDefault="009D2549" w:rsidP="009D2549">
      <w:pPr>
        <w:rPr>
          <w:b/>
          <w:szCs w:val="24"/>
        </w:rPr>
      </w:pPr>
      <w:r w:rsidRPr="008252AC">
        <w:rPr>
          <w:b/>
          <w:szCs w:val="24"/>
        </w:rPr>
        <w:t>2.3. Avleiðingar fyri vinnuna</w:t>
      </w:r>
    </w:p>
    <w:p w14:paraId="0461A4D0" w14:textId="77777777" w:rsidR="009D2549" w:rsidRPr="008252AC" w:rsidRDefault="009D2549" w:rsidP="009D2549">
      <w:pPr>
        <w:jc w:val="both"/>
        <w:rPr>
          <w:szCs w:val="24"/>
        </w:rPr>
      </w:pPr>
      <w:r w:rsidRPr="008252AC">
        <w:rPr>
          <w:szCs w:val="24"/>
        </w:rPr>
        <w:t>Lógaruppskotið hevur ta avleiðing fyri vinnuna, at persónar fevndir av § 24, stk. 2, eftir umsókn kunnu sleppa undan at rinda heilsutrygdargjald í Føroyum.</w:t>
      </w:r>
    </w:p>
    <w:p w14:paraId="1DC73616" w14:textId="77777777" w:rsidR="008252AC" w:rsidRDefault="008252AC" w:rsidP="009D2549">
      <w:pPr>
        <w:rPr>
          <w:b/>
          <w:szCs w:val="24"/>
        </w:rPr>
      </w:pPr>
    </w:p>
    <w:p w14:paraId="6451C77F" w14:textId="6B044490" w:rsidR="009D2549" w:rsidRPr="008252AC" w:rsidRDefault="009D2549" w:rsidP="009D2549">
      <w:pPr>
        <w:rPr>
          <w:b/>
          <w:szCs w:val="24"/>
        </w:rPr>
      </w:pPr>
      <w:r w:rsidRPr="008252AC">
        <w:rPr>
          <w:b/>
          <w:szCs w:val="24"/>
        </w:rPr>
        <w:t>2.4. Avleiðingar fyri umhvørvið</w:t>
      </w:r>
    </w:p>
    <w:p w14:paraId="305F404F" w14:textId="77777777" w:rsidR="009D2549" w:rsidRPr="008252AC" w:rsidRDefault="009D2549" w:rsidP="009D2549">
      <w:pPr>
        <w:jc w:val="both"/>
        <w:rPr>
          <w:szCs w:val="24"/>
        </w:rPr>
      </w:pPr>
      <w:r w:rsidRPr="008252AC">
        <w:rPr>
          <w:szCs w:val="24"/>
        </w:rPr>
        <w:t>Lógaruppskotið hevur ongar avleiðingar fyri umhvørvið.</w:t>
      </w:r>
    </w:p>
    <w:p w14:paraId="7414F55A" w14:textId="77777777" w:rsidR="00DF72BC" w:rsidRPr="008252AC" w:rsidRDefault="00DF72BC" w:rsidP="009D2549">
      <w:pPr>
        <w:rPr>
          <w:b/>
          <w:szCs w:val="24"/>
        </w:rPr>
      </w:pPr>
    </w:p>
    <w:p w14:paraId="402340CC" w14:textId="4D2DE0C6" w:rsidR="009D2549" w:rsidRPr="008252AC" w:rsidRDefault="009D2549" w:rsidP="009D2549">
      <w:pPr>
        <w:rPr>
          <w:b/>
          <w:szCs w:val="24"/>
        </w:rPr>
      </w:pPr>
      <w:r w:rsidRPr="008252AC">
        <w:rPr>
          <w:b/>
          <w:szCs w:val="24"/>
        </w:rPr>
        <w:t>2.5. Avleiðingar fyri serstøk øki í landinum</w:t>
      </w:r>
    </w:p>
    <w:p w14:paraId="2379AA01" w14:textId="77777777" w:rsidR="009D2549" w:rsidRPr="008252AC" w:rsidRDefault="009D2549" w:rsidP="009D2549">
      <w:pPr>
        <w:jc w:val="both"/>
        <w:rPr>
          <w:szCs w:val="24"/>
        </w:rPr>
      </w:pPr>
      <w:r w:rsidRPr="008252AC">
        <w:rPr>
          <w:szCs w:val="24"/>
        </w:rPr>
        <w:t>Lógaruppskotið hevur ikki avleiðingar fyri serstøk øki í landinum.</w:t>
      </w:r>
    </w:p>
    <w:p w14:paraId="5A753482" w14:textId="77777777" w:rsidR="009D2549" w:rsidRPr="008252AC" w:rsidRDefault="009D2549" w:rsidP="009D2549">
      <w:pPr>
        <w:jc w:val="both"/>
        <w:rPr>
          <w:szCs w:val="24"/>
        </w:rPr>
      </w:pPr>
    </w:p>
    <w:p w14:paraId="0EAB0F49" w14:textId="77777777" w:rsidR="008252AC" w:rsidRDefault="008252AC">
      <w:pPr>
        <w:rPr>
          <w:b/>
          <w:szCs w:val="24"/>
        </w:rPr>
      </w:pPr>
      <w:r>
        <w:rPr>
          <w:b/>
          <w:szCs w:val="24"/>
        </w:rPr>
        <w:br w:type="page"/>
      </w:r>
    </w:p>
    <w:p w14:paraId="5D6C4A13" w14:textId="7E72A183" w:rsidR="009D2549" w:rsidRPr="008252AC" w:rsidRDefault="009D2549" w:rsidP="009D2549">
      <w:pPr>
        <w:rPr>
          <w:b/>
          <w:szCs w:val="24"/>
        </w:rPr>
      </w:pPr>
      <w:r w:rsidRPr="008252AC">
        <w:rPr>
          <w:b/>
          <w:szCs w:val="24"/>
        </w:rPr>
        <w:lastRenderedPageBreak/>
        <w:t>2.6. Avleiðingar fyri ávísar samfelagsbólkar ella felagsskapir</w:t>
      </w:r>
    </w:p>
    <w:p w14:paraId="1E62957E" w14:textId="77777777" w:rsidR="009D2549" w:rsidRPr="008252AC" w:rsidRDefault="009D2549" w:rsidP="009D2549">
      <w:pPr>
        <w:jc w:val="both"/>
        <w:rPr>
          <w:szCs w:val="24"/>
        </w:rPr>
      </w:pPr>
      <w:r w:rsidRPr="008252AC">
        <w:rPr>
          <w:szCs w:val="24"/>
        </w:rPr>
        <w:t xml:space="preserve">Lógaruppskotið hevur ta jaligu avleiðing, at persónar ið eru fevndir av § 24, stk. 2 eftir umsókn kunnu sleppa undan at rinda heilsutrygdargjald í Føroyum. </w:t>
      </w:r>
    </w:p>
    <w:p w14:paraId="778DBEF5" w14:textId="77777777" w:rsidR="009D2549" w:rsidRPr="008252AC" w:rsidRDefault="009D2549" w:rsidP="009D2549">
      <w:pPr>
        <w:jc w:val="both"/>
        <w:rPr>
          <w:szCs w:val="24"/>
        </w:rPr>
      </w:pPr>
    </w:p>
    <w:p w14:paraId="13E3B557" w14:textId="77777777" w:rsidR="009D2549" w:rsidRPr="008252AC" w:rsidRDefault="009D2549" w:rsidP="009D2549">
      <w:pPr>
        <w:rPr>
          <w:b/>
          <w:szCs w:val="24"/>
        </w:rPr>
      </w:pPr>
      <w:r w:rsidRPr="008252AC">
        <w:rPr>
          <w:b/>
          <w:szCs w:val="24"/>
        </w:rPr>
        <w:t>2.7. Millumtjóðasáttmálar á økinum</w:t>
      </w:r>
    </w:p>
    <w:p w14:paraId="21B099A8" w14:textId="77777777" w:rsidR="009D2549" w:rsidRPr="008252AC" w:rsidRDefault="009D2549" w:rsidP="009D2549">
      <w:pPr>
        <w:rPr>
          <w:bCs/>
          <w:szCs w:val="24"/>
        </w:rPr>
      </w:pPr>
      <w:r w:rsidRPr="008252AC">
        <w:rPr>
          <w:bCs/>
          <w:szCs w:val="24"/>
        </w:rPr>
        <w:t xml:space="preserve">Lógaruppskotið hevur við sær, at samsvar verður fingið millum heilsutrygdarlógina og Nordisk konvention om social sikring. </w:t>
      </w:r>
    </w:p>
    <w:p w14:paraId="062264A2" w14:textId="77777777" w:rsidR="009D2549" w:rsidRPr="008252AC" w:rsidRDefault="009D2549" w:rsidP="009D2549">
      <w:pPr>
        <w:jc w:val="both"/>
        <w:rPr>
          <w:szCs w:val="24"/>
        </w:rPr>
      </w:pPr>
    </w:p>
    <w:p w14:paraId="707B48A1" w14:textId="77777777" w:rsidR="009D2549" w:rsidRPr="008252AC" w:rsidRDefault="009D2549" w:rsidP="009D2549">
      <w:pPr>
        <w:rPr>
          <w:b/>
          <w:szCs w:val="24"/>
        </w:rPr>
      </w:pPr>
      <w:r w:rsidRPr="008252AC">
        <w:rPr>
          <w:b/>
          <w:szCs w:val="24"/>
        </w:rPr>
        <w:t>2.8. Tvørgangandi millumtjóðasáttmálar</w:t>
      </w:r>
    </w:p>
    <w:p w14:paraId="449E4804" w14:textId="77777777" w:rsidR="009D2549" w:rsidRPr="008252AC" w:rsidRDefault="009D2549" w:rsidP="009D2549">
      <w:pPr>
        <w:rPr>
          <w:b/>
        </w:rPr>
      </w:pPr>
      <w:r w:rsidRPr="008252AC">
        <w:rPr>
          <w:b/>
        </w:rPr>
        <w:t>1) Hoyvíkssáttmálin</w:t>
      </w:r>
    </w:p>
    <w:p w14:paraId="073DA14A" w14:textId="77777777" w:rsidR="009D2549" w:rsidRPr="008252AC" w:rsidRDefault="009D2549" w:rsidP="009D2549">
      <w:pPr>
        <w:rPr>
          <w:bCs/>
        </w:rPr>
      </w:pPr>
      <w:r w:rsidRPr="008252AC">
        <w:rPr>
          <w:bCs/>
        </w:rPr>
        <w:t>Uppskotið hevur ongar avleiðingar fyri Hoyvíkssáttmálan.</w:t>
      </w:r>
    </w:p>
    <w:p w14:paraId="62615392" w14:textId="77777777" w:rsidR="009D2549" w:rsidRPr="008252AC" w:rsidRDefault="009D2549" w:rsidP="009D2549">
      <w:pPr>
        <w:rPr>
          <w:bCs/>
        </w:rPr>
      </w:pPr>
    </w:p>
    <w:p w14:paraId="4ACFF103" w14:textId="77777777" w:rsidR="009D2549" w:rsidRPr="008252AC" w:rsidRDefault="009D2549" w:rsidP="009D2549">
      <w:pPr>
        <w:rPr>
          <w:b/>
        </w:rPr>
      </w:pPr>
      <w:r w:rsidRPr="008252AC">
        <w:rPr>
          <w:b/>
        </w:rPr>
        <w:t>2) Evropeiski mannarættindasáttmálin, EMRS</w:t>
      </w:r>
    </w:p>
    <w:p w14:paraId="265DEC4A" w14:textId="77777777" w:rsidR="009D2549" w:rsidRPr="008252AC" w:rsidRDefault="009D2549" w:rsidP="009D2549">
      <w:r w:rsidRPr="008252AC">
        <w:t>Uppskotið hevur ongar avleiðingar við atliti at EMRS.</w:t>
      </w:r>
    </w:p>
    <w:p w14:paraId="7C3E9172" w14:textId="77777777" w:rsidR="009D2549" w:rsidRPr="008252AC" w:rsidRDefault="009D2549" w:rsidP="009D2549"/>
    <w:p w14:paraId="075EB5F5" w14:textId="77777777" w:rsidR="009D2549" w:rsidRPr="008252AC" w:rsidRDefault="009D2549" w:rsidP="009D2549">
      <w:pPr>
        <w:rPr>
          <w:b/>
          <w:bCs/>
        </w:rPr>
      </w:pPr>
      <w:r w:rsidRPr="008252AC">
        <w:rPr>
          <w:b/>
          <w:bCs/>
        </w:rPr>
        <w:t>3) Sáttmáli Sameindu Tjóða um rættindi hjá einstaklingum, ið bera brek</w:t>
      </w:r>
    </w:p>
    <w:p w14:paraId="57772F13" w14:textId="77777777" w:rsidR="009D2549" w:rsidRPr="008252AC" w:rsidRDefault="009D2549" w:rsidP="009D2549">
      <w:pPr>
        <w:rPr>
          <w:b/>
        </w:rPr>
      </w:pPr>
      <w:r w:rsidRPr="008252AC">
        <w:t>Uppskotið hevur ongar avleiðingar við atliti at Sáttmála Sameindu Tjóða um rættindi hjá einstaklingum, sum bera brek.</w:t>
      </w:r>
    </w:p>
    <w:p w14:paraId="1255D927" w14:textId="77777777" w:rsidR="009D2549" w:rsidRPr="008252AC" w:rsidRDefault="009D2549" w:rsidP="009D2549">
      <w:pPr>
        <w:contextualSpacing/>
        <w:jc w:val="both"/>
        <w:rPr>
          <w:szCs w:val="24"/>
        </w:rPr>
      </w:pPr>
    </w:p>
    <w:p w14:paraId="5E2936BC" w14:textId="77777777" w:rsidR="009D2549" w:rsidRPr="008252AC" w:rsidRDefault="009D2549" w:rsidP="009D2549">
      <w:pPr>
        <w:rPr>
          <w:b/>
          <w:szCs w:val="24"/>
        </w:rPr>
      </w:pPr>
      <w:r w:rsidRPr="008252AC">
        <w:rPr>
          <w:b/>
          <w:szCs w:val="24"/>
        </w:rPr>
        <w:t>2.9. Markaforðingar</w:t>
      </w:r>
    </w:p>
    <w:p w14:paraId="705CEE01" w14:textId="216327AE" w:rsidR="00B40A77" w:rsidRPr="008252AC" w:rsidRDefault="00B40A77" w:rsidP="009D2549">
      <w:pPr>
        <w:jc w:val="both"/>
        <w:rPr>
          <w:szCs w:val="24"/>
        </w:rPr>
      </w:pPr>
      <w:r w:rsidRPr="008252AC">
        <w:rPr>
          <w:szCs w:val="24"/>
        </w:rPr>
        <w:t>Lógaruppskotið strikar eina markaforðing við tað</w:t>
      </w:r>
      <w:r w:rsidR="008309FA" w:rsidRPr="008252AC">
        <w:rPr>
          <w:szCs w:val="24"/>
        </w:rPr>
        <w:t xml:space="preserve"> at</w:t>
      </w:r>
      <w:r w:rsidRPr="008252AC">
        <w:rPr>
          <w:szCs w:val="24"/>
        </w:rPr>
        <w:t xml:space="preserve"> samsvar fæst millum heilsutrygdarlógina og lóggávuna í hinum Norðanlondum.</w:t>
      </w:r>
    </w:p>
    <w:p w14:paraId="3C07B70B" w14:textId="77777777" w:rsidR="009D2549" w:rsidRPr="008252AC" w:rsidRDefault="009D2549" w:rsidP="009D2549">
      <w:pPr>
        <w:jc w:val="both"/>
        <w:rPr>
          <w:szCs w:val="24"/>
        </w:rPr>
      </w:pPr>
    </w:p>
    <w:p w14:paraId="0F05FC1D" w14:textId="77777777" w:rsidR="009D2549" w:rsidRPr="008252AC" w:rsidRDefault="009D2549" w:rsidP="009D2549">
      <w:pPr>
        <w:rPr>
          <w:b/>
          <w:szCs w:val="24"/>
        </w:rPr>
      </w:pPr>
      <w:r w:rsidRPr="008252AC">
        <w:rPr>
          <w:b/>
          <w:szCs w:val="24"/>
        </w:rPr>
        <w:t>2.10. Revsing, fyrisitingarligar sektir, pantiheimildir ella onnur størri inntriv</w:t>
      </w:r>
    </w:p>
    <w:p w14:paraId="5DEC11BC" w14:textId="77777777" w:rsidR="00EC0026" w:rsidRPr="008252AC" w:rsidRDefault="00EC0026" w:rsidP="00EC0026">
      <w:r w:rsidRPr="008252AC">
        <w:t>Lógaruppskotið hevur ikki ásetingar um revsing ella fyrisitingarligar sektir. Lógaruppskotið hevur áseting í § 26 a um, at heilsutrygdargjald og renta, ið er fallin til gjaldingar, kann verða innheintað við panting. Harumframt verður heimilað TAKS í § 26 a, stk. 3 at innkrevja skuld og innkrevjingarkostnað sambært hesi løgtingslóg við at afturhalda í A-inntøku hjá teimum gjaldsskyldugu.</w:t>
      </w:r>
    </w:p>
    <w:p w14:paraId="4BB5A560" w14:textId="77777777" w:rsidR="009D2549" w:rsidRPr="008252AC" w:rsidRDefault="009D2549" w:rsidP="009D2549">
      <w:pPr>
        <w:jc w:val="both"/>
        <w:rPr>
          <w:szCs w:val="24"/>
        </w:rPr>
      </w:pPr>
    </w:p>
    <w:p w14:paraId="12963E6D" w14:textId="77777777" w:rsidR="009D2549" w:rsidRPr="008252AC" w:rsidRDefault="009D2549" w:rsidP="009D2549">
      <w:pPr>
        <w:rPr>
          <w:b/>
          <w:szCs w:val="24"/>
        </w:rPr>
      </w:pPr>
      <w:r w:rsidRPr="008252AC">
        <w:rPr>
          <w:b/>
          <w:szCs w:val="24"/>
        </w:rPr>
        <w:t>2.11. Skattir og avgjøld</w:t>
      </w:r>
    </w:p>
    <w:p w14:paraId="28E59A50" w14:textId="77777777" w:rsidR="009D2549" w:rsidRPr="008252AC" w:rsidRDefault="009D2549" w:rsidP="009D2549">
      <w:pPr>
        <w:jc w:val="both"/>
        <w:rPr>
          <w:szCs w:val="24"/>
        </w:rPr>
      </w:pPr>
      <w:r w:rsidRPr="008252AC">
        <w:rPr>
          <w:szCs w:val="24"/>
        </w:rPr>
        <w:t>Lógaruppskotið hevur ikki ásetingar um skattir og avgjøld.</w:t>
      </w:r>
    </w:p>
    <w:p w14:paraId="0B5DCA2E" w14:textId="77777777" w:rsidR="009D2549" w:rsidRPr="008252AC" w:rsidRDefault="009D2549" w:rsidP="009D2549">
      <w:pPr>
        <w:jc w:val="both"/>
        <w:rPr>
          <w:szCs w:val="24"/>
        </w:rPr>
      </w:pPr>
    </w:p>
    <w:p w14:paraId="39CFDD63" w14:textId="77777777" w:rsidR="009D2549" w:rsidRPr="008252AC" w:rsidRDefault="009D2549" w:rsidP="009D2549">
      <w:pPr>
        <w:rPr>
          <w:b/>
          <w:szCs w:val="24"/>
        </w:rPr>
      </w:pPr>
      <w:r w:rsidRPr="008252AC">
        <w:rPr>
          <w:b/>
          <w:szCs w:val="24"/>
        </w:rPr>
        <w:t>2.12. Gjøld</w:t>
      </w:r>
    </w:p>
    <w:p w14:paraId="766CF38E" w14:textId="51BB008A" w:rsidR="009D2549" w:rsidRPr="008252AC" w:rsidRDefault="009D2549" w:rsidP="009D2549">
      <w:pPr>
        <w:jc w:val="both"/>
        <w:rPr>
          <w:szCs w:val="24"/>
        </w:rPr>
      </w:pPr>
      <w:r w:rsidRPr="008252AC">
        <w:rPr>
          <w:szCs w:val="24"/>
        </w:rPr>
        <w:t>Lógaruppskotið hevur ongar ásetingar um gjøld</w:t>
      </w:r>
      <w:r w:rsidR="007D317A" w:rsidRPr="008252AC">
        <w:rPr>
          <w:szCs w:val="24"/>
        </w:rPr>
        <w:t>, men heimilar at undantak kann gerast frá gjaldsskravinum.</w:t>
      </w:r>
    </w:p>
    <w:p w14:paraId="45850845" w14:textId="77777777" w:rsidR="009D2549" w:rsidRPr="008252AC" w:rsidRDefault="009D2549" w:rsidP="009D2549">
      <w:pPr>
        <w:jc w:val="both"/>
        <w:rPr>
          <w:b/>
          <w:szCs w:val="24"/>
        </w:rPr>
      </w:pPr>
    </w:p>
    <w:p w14:paraId="1B9B196F" w14:textId="77777777" w:rsidR="009D2549" w:rsidRPr="008252AC" w:rsidRDefault="009D2549" w:rsidP="009D2549">
      <w:pPr>
        <w:rPr>
          <w:b/>
          <w:szCs w:val="24"/>
        </w:rPr>
      </w:pPr>
      <w:r w:rsidRPr="008252AC">
        <w:rPr>
          <w:b/>
          <w:szCs w:val="24"/>
        </w:rPr>
        <w:t>2.13. Áleggur lógaruppskotið likamligum ella løgfrøðiligum persónum skyldur?</w:t>
      </w:r>
    </w:p>
    <w:p w14:paraId="282B6D0D" w14:textId="77777777" w:rsidR="009D2549" w:rsidRPr="008252AC" w:rsidRDefault="009D2549" w:rsidP="009D2549">
      <w:pPr>
        <w:rPr>
          <w:bCs/>
          <w:szCs w:val="24"/>
        </w:rPr>
      </w:pPr>
      <w:r w:rsidRPr="008252AC">
        <w:rPr>
          <w:bCs/>
          <w:szCs w:val="24"/>
        </w:rPr>
        <w:t xml:space="preserve">Lógaruppskotið áleggur ikki likamligum ella løgfrøðiligum persónum skyldur. </w:t>
      </w:r>
    </w:p>
    <w:p w14:paraId="09F8298E" w14:textId="77777777" w:rsidR="009D2549" w:rsidRPr="008252AC" w:rsidRDefault="009D2549" w:rsidP="009D2549">
      <w:pPr>
        <w:jc w:val="both"/>
        <w:rPr>
          <w:b/>
          <w:szCs w:val="24"/>
        </w:rPr>
      </w:pPr>
    </w:p>
    <w:p w14:paraId="105EDFB1" w14:textId="66299A29" w:rsidR="009D2549" w:rsidRPr="008252AC" w:rsidRDefault="009D2549" w:rsidP="009D2549">
      <w:pPr>
        <w:rPr>
          <w:b/>
          <w:szCs w:val="24"/>
        </w:rPr>
      </w:pPr>
      <w:r w:rsidRPr="008252AC">
        <w:rPr>
          <w:b/>
          <w:szCs w:val="24"/>
        </w:rPr>
        <w:t>2.14. Leggur lógaruppskotið heimildir til landsstýris</w:t>
      </w:r>
      <w:r w:rsidR="007D317A" w:rsidRPr="008252AC">
        <w:rPr>
          <w:b/>
          <w:szCs w:val="24"/>
        </w:rPr>
        <w:t>fólkið</w:t>
      </w:r>
      <w:r w:rsidRPr="008252AC">
        <w:rPr>
          <w:b/>
          <w:szCs w:val="24"/>
        </w:rPr>
        <w:t>, ein stovn undir landsstýrinum ella til kommunur?</w:t>
      </w:r>
    </w:p>
    <w:p w14:paraId="22B83822" w14:textId="1B21344B" w:rsidR="009D2549" w:rsidRPr="008252AC" w:rsidRDefault="009D2549" w:rsidP="009D2549">
      <w:pPr>
        <w:rPr>
          <w:bCs/>
          <w:szCs w:val="24"/>
        </w:rPr>
      </w:pPr>
      <w:r w:rsidRPr="008252AC">
        <w:rPr>
          <w:bCs/>
          <w:szCs w:val="24"/>
        </w:rPr>
        <w:t>Lógaruppskotið leggur heimildir til landsstýris</w:t>
      </w:r>
      <w:r w:rsidR="007D317A" w:rsidRPr="008252AC">
        <w:rPr>
          <w:bCs/>
          <w:szCs w:val="24"/>
        </w:rPr>
        <w:t>fólkið.</w:t>
      </w:r>
      <w:r w:rsidR="00B40A77" w:rsidRPr="008252AC">
        <w:rPr>
          <w:bCs/>
          <w:szCs w:val="24"/>
        </w:rPr>
        <w:t xml:space="preserve"> Landsstýrisfólkið kann áseta nærri reglur um viðurskifti viðvíkjandi umsókn og fráboðanarskyldu sambært § 24, stk. 2.</w:t>
      </w:r>
    </w:p>
    <w:p w14:paraId="23C68AE7" w14:textId="77777777" w:rsidR="009D2549" w:rsidRPr="008252AC" w:rsidRDefault="009D2549" w:rsidP="009D2549">
      <w:pPr>
        <w:jc w:val="both"/>
        <w:rPr>
          <w:b/>
          <w:szCs w:val="24"/>
        </w:rPr>
      </w:pPr>
    </w:p>
    <w:p w14:paraId="12CB76EB" w14:textId="77777777" w:rsidR="009D2549" w:rsidRPr="008252AC" w:rsidRDefault="009D2549" w:rsidP="009D2549">
      <w:pPr>
        <w:jc w:val="both"/>
        <w:rPr>
          <w:b/>
          <w:szCs w:val="24"/>
        </w:rPr>
      </w:pPr>
      <w:r w:rsidRPr="008252AC">
        <w:rPr>
          <w:b/>
          <w:szCs w:val="24"/>
        </w:rPr>
        <w:t>2.15. Gevur lógaruppskotið almennum myndugleikum atgongd til privata ogn?</w:t>
      </w:r>
    </w:p>
    <w:p w14:paraId="229DD549" w14:textId="77777777" w:rsidR="009D2549" w:rsidRPr="008252AC" w:rsidRDefault="009D2549" w:rsidP="009D2549">
      <w:pPr>
        <w:jc w:val="both"/>
        <w:rPr>
          <w:szCs w:val="24"/>
        </w:rPr>
      </w:pPr>
      <w:r w:rsidRPr="008252AC">
        <w:rPr>
          <w:szCs w:val="24"/>
        </w:rPr>
        <w:t xml:space="preserve">Lógaruppskotið gevur ikki almennum myndugleikum atgongd til privata ogn.  </w:t>
      </w:r>
    </w:p>
    <w:p w14:paraId="198F1E1B" w14:textId="77777777" w:rsidR="009D2549" w:rsidRPr="008252AC" w:rsidRDefault="009D2549" w:rsidP="009D2549">
      <w:pPr>
        <w:jc w:val="both"/>
        <w:rPr>
          <w:szCs w:val="24"/>
        </w:rPr>
      </w:pPr>
    </w:p>
    <w:p w14:paraId="7570F9E4" w14:textId="77777777" w:rsidR="008252AC" w:rsidRDefault="008252AC">
      <w:pPr>
        <w:rPr>
          <w:b/>
          <w:szCs w:val="24"/>
        </w:rPr>
      </w:pPr>
      <w:r>
        <w:rPr>
          <w:b/>
          <w:szCs w:val="24"/>
        </w:rPr>
        <w:br w:type="page"/>
      </w:r>
    </w:p>
    <w:p w14:paraId="2282B180" w14:textId="53761E30" w:rsidR="009D2549" w:rsidRPr="008252AC" w:rsidRDefault="009D2549" w:rsidP="009D2549">
      <w:pPr>
        <w:jc w:val="both"/>
        <w:rPr>
          <w:b/>
          <w:szCs w:val="24"/>
        </w:rPr>
      </w:pPr>
      <w:r w:rsidRPr="008252AC">
        <w:rPr>
          <w:b/>
          <w:szCs w:val="24"/>
        </w:rPr>
        <w:lastRenderedPageBreak/>
        <w:t>2.16. Hevur lógaruppskotið aðrar avleiðingar?</w:t>
      </w:r>
    </w:p>
    <w:p w14:paraId="0AE03E1D" w14:textId="77777777" w:rsidR="009D2549" w:rsidRPr="008252AC" w:rsidRDefault="009D2549" w:rsidP="009D2549">
      <w:pPr>
        <w:jc w:val="both"/>
        <w:rPr>
          <w:szCs w:val="24"/>
        </w:rPr>
      </w:pPr>
      <w:r w:rsidRPr="008252AC">
        <w:rPr>
          <w:szCs w:val="24"/>
        </w:rPr>
        <w:t>Mett verður ikki, at lógaruppskotið hevur aðrar avleiðingar enn tær, sum eru nevndar omanfyri.</w:t>
      </w:r>
    </w:p>
    <w:p w14:paraId="3FABC1DC" w14:textId="77777777" w:rsidR="009D2549" w:rsidRPr="008252AC" w:rsidRDefault="009D2549" w:rsidP="009D2549">
      <w:pPr>
        <w:jc w:val="both"/>
        <w:rPr>
          <w:b/>
          <w:szCs w:val="24"/>
        </w:rPr>
      </w:pPr>
    </w:p>
    <w:p w14:paraId="1A03D58E" w14:textId="79D6C761" w:rsidR="009D2549" w:rsidRPr="008252AC" w:rsidRDefault="009D2549" w:rsidP="009D2549">
      <w:pPr>
        <w:jc w:val="both"/>
        <w:rPr>
          <w:b/>
          <w:szCs w:val="24"/>
        </w:rPr>
      </w:pPr>
      <w:r w:rsidRPr="008252AC">
        <w:rPr>
          <w:b/>
          <w:szCs w:val="24"/>
        </w:rPr>
        <w:t>2.17. Talvan: Yvirlit yvir avleiðingarnar av lógaruppskotinum</w:t>
      </w:r>
    </w:p>
    <w:p w14:paraId="20245DDD" w14:textId="77777777" w:rsidR="009D2549" w:rsidRPr="008252AC" w:rsidRDefault="009D2549" w:rsidP="009D2549">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9D2549" w:rsidRPr="008252AC" w14:paraId="56CCE0DF" w14:textId="77777777" w:rsidTr="00E3036B">
        <w:trPr>
          <w:trHeight w:val="690"/>
        </w:trPr>
        <w:tc>
          <w:tcPr>
            <w:tcW w:w="1522" w:type="dxa"/>
            <w:shd w:val="clear" w:color="auto" w:fill="auto"/>
          </w:tcPr>
          <w:p w14:paraId="2E31A062" w14:textId="77777777" w:rsidR="009D2549" w:rsidRPr="008252AC" w:rsidRDefault="009D2549" w:rsidP="00E3036B">
            <w:pPr>
              <w:contextualSpacing/>
              <w:rPr>
                <w:b/>
                <w:bCs/>
                <w:sz w:val="20"/>
              </w:rPr>
            </w:pPr>
          </w:p>
        </w:tc>
        <w:tc>
          <w:tcPr>
            <w:tcW w:w="1522" w:type="dxa"/>
            <w:shd w:val="clear" w:color="auto" w:fill="auto"/>
          </w:tcPr>
          <w:p w14:paraId="40E292D0" w14:textId="77777777" w:rsidR="009D2549" w:rsidRPr="008252AC" w:rsidRDefault="009D2549" w:rsidP="00E3036B">
            <w:pPr>
              <w:rPr>
                <w:sz w:val="20"/>
              </w:rPr>
            </w:pPr>
            <w:r w:rsidRPr="008252AC">
              <w:rPr>
                <w:sz w:val="20"/>
              </w:rPr>
              <w:t>Fyri landið ella landsmyndug-leikar</w:t>
            </w:r>
          </w:p>
        </w:tc>
        <w:tc>
          <w:tcPr>
            <w:tcW w:w="1523" w:type="dxa"/>
            <w:shd w:val="clear" w:color="auto" w:fill="auto"/>
          </w:tcPr>
          <w:p w14:paraId="4F270CC7" w14:textId="77777777" w:rsidR="009D2549" w:rsidRPr="008252AC" w:rsidRDefault="009D2549" w:rsidP="00E3036B">
            <w:pPr>
              <w:contextualSpacing/>
              <w:rPr>
                <w:sz w:val="20"/>
              </w:rPr>
            </w:pPr>
            <w:r w:rsidRPr="008252AC">
              <w:rPr>
                <w:sz w:val="20"/>
              </w:rPr>
              <w:t>Fyri kommunalar myndugleikar</w:t>
            </w:r>
          </w:p>
        </w:tc>
        <w:tc>
          <w:tcPr>
            <w:tcW w:w="1522" w:type="dxa"/>
            <w:shd w:val="clear" w:color="auto" w:fill="auto"/>
          </w:tcPr>
          <w:p w14:paraId="2822189E" w14:textId="77777777" w:rsidR="009D2549" w:rsidRPr="008252AC" w:rsidRDefault="009D2549" w:rsidP="00E3036B">
            <w:pPr>
              <w:contextualSpacing/>
              <w:rPr>
                <w:sz w:val="20"/>
              </w:rPr>
            </w:pPr>
            <w:r w:rsidRPr="008252AC">
              <w:rPr>
                <w:sz w:val="20"/>
              </w:rPr>
              <w:t>Fyri pláss ella øki í landinum</w:t>
            </w:r>
          </w:p>
        </w:tc>
        <w:tc>
          <w:tcPr>
            <w:tcW w:w="1522" w:type="dxa"/>
            <w:shd w:val="clear" w:color="auto" w:fill="auto"/>
          </w:tcPr>
          <w:p w14:paraId="3F173592" w14:textId="77777777" w:rsidR="009D2549" w:rsidRPr="008252AC" w:rsidRDefault="009D2549" w:rsidP="00E3036B">
            <w:pPr>
              <w:contextualSpacing/>
              <w:rPr>
                <w:sz w:val="20"/>
              </w:rPr>
            </w:pPr>
            <w:r w:rsidRPr="008252AC">
              <w:rPr>
                <w:sz w:val="20"/>
              </w:rPr>
              <w:t>Fyri ávísar samfelags-bólkar ella felagsskapir</w:t>
            </w:r>
          </w:p>
        </w:tc>
        <w:tc>
          <w:tcPr>
            <w:tcW w:w="1523" w:type="dxa"/>
            <w:shd w:val="clear" w:color="auto" w:fill="auto"/>
          </w:tcPr>
          <w:p w14:paraId="786F0983" w14:textId="77777777" w:rsidR="009D2549" w:rsidRPr="008252AC" w:rsidRDefault="009D2549" w:rsidP="00E3036B">
            <w:pPr>
              <w:contextualSpacing/>
              <w:rPr>
                <w:sz w:val="20"/>
              </w:rPr>
            </w:pPr>
            <w:r w:rsidRPr="008252AC">
              <w:rPr>
                <w:sz w:val="20"/>
              </w:rPr>
              <w:t>Fyri vinnuna</w:t>
            </w:r>
          </w:p>
        </w:tc>
      </w:tr>
      <w:tr w:rsidR="009D2549" w:rsidRPr="008252AC" w14:paraId="72A16421" w14:textId="77777777" w:rsidTr="00E3036B">
        <w:trPr>
          <w:trHeight w:val="690"/>
        </w:trPr>
        <w:tc>
          <w:tcPr>
            <w:tcW w:w="1522" w:type="dxa"/>
            <w:shd w:val="clear" w:color="auto" w:fill="auto"/>
            <w:vAlign w:val="center"/>
          </w:tcPr>
          <w:p w14:paraId="0CDBB5A3" w14:textId="77777777" w:rsidR="009D2549" w:rsidRPr="008252AC" w:rsidRDefault="009D2549" w:rsidP="00E3036B">
            <w:pPr>
              <w:contextualSpacing/>
              <w:rPr>
                <w:sz w:val="20"/>
              </w:rPr>
            </w:pPr>
            <w:r w:rsidRPr="008252AC">
              <w:rPr>
                <w:sz w:val="20"/>
              </w:rPr>
              <w:t>Fíggjarligar ella búskaparligar avleiðingar</w:t>
            </w:r>
          </w:p>
        </w:tc>
        <w:tc>
          <w:tcPr>
            <w:tcW w:w="1522" w:type="dxa"/>
            <w:shd w:val="clear" w:color="auto" w:fill="auto"/>
            <w:vAlign w:val="center"/>
          </w:tcPr>
          <w:p w14:paraId="63D3F3E5" w14:textId="77777777" w:rsidR="009D2549" w:rsidRPr="008252AC" w:rsidRDefault="009D2549" w:rsidP="00E3036B">
            <w:pPr>
              <w:contextualSpacing/>
              <w:jc w:val="center"/>
              <w:rPr>
                <w:bCs/>
                <w:sz w:val="20"/>
              </w:rPr>
            </w:pPr>
            <w:r w:rsidRPr="008252AC">
              <w:rPr>
                <w:bCs/>
                <w:sz w:val="20"/>
              </w:rPr>
              <w:t>Ja</w:t>
            </w:r>
          </w:p>
        </w:tc>
        <w:tc>
          <w:tcPr>
            <w:tcW w:w="1523" w:type="dxa"/>
            <w:shd w:val="clear" w:color="auto" w:fill="auto"/>
            <w:vAlign w:val="center"/>
          </w:tcPr>
          <w:p w14:paraId="5540958C" w14:textId="77777777" w:rsidR="009D2549" w:rsidRPr="008252AC" w:rsidRDefault="009D2549" w:rsidP="00E3036B">
            <w:pPr>
              <w:contextualSpacing/>
              <w:jc w:val="center"/>
              <w:rPr>
                <w:bCs/>
                <w:sz w:val="20"/>
              </w:rPr>
            </w:pPr>
            <w:r w:rsidRPr="008252AC">
              <w:rPr>
                <w:bCs/>
                <w:sz w:val="20"/>
              </w:rPr>
              <w:t>Nei</w:t>
            </w:r>
          </w:p>
        </w:tc>
        <w:tc>
          <w:tcPr>
            <w:tcW w:w="1522" w:type="dxa"/>
            <w:shd w:val="clear" w:color="auto" w:fill="auto"/>
            <w:vAlign w:val="center"/>
          </w:tcPr>
          <w:p w14:paraId="29B5F148" w14:textId="77777777" w:rsidR="009D2549" w:rsidRPr="008252AC" w:rsidRDefault="009D2549" w:rsidP="00E3036B">
            <w:pPr>
              <w:contextualSpacing/>
              <w:jc w:val="center"/>
              <w:rPr>
                <w:bCs/>
                <w:sz w:val="20"/>
              </w:rPr>
            </w:pPr>
            <w:r w:rsidRPr="008252AC">
              <w:rPr>
                <w:bCs/>
                <w:sz w:val="20"/>
              </w:rPr>
              <w:t>Nei</w:t>
            </w:r>
          </w:p>
        </w:tc>
        <w:tc>
          <w:tcPr>
            <w:tcW w:w="1522" w:type="dxa"/>
            <w:shd w:val="clear" w:color="auto" w:fill="auto"/>
            <w:vAlign w:val="center"/>
          </w:tcPr>
          <w:p w14:paraId="43F60D54" w14:textId="77777777" w:rsidR="009D2549" w:rsidRPr="008252AC" w:rsidRDefault="009D2549" w:rsidP="00E3036B">
            <w:pPr>
              <w:contextualSpacing/>
              <w:rPr>
                <w:bCs/>
                <w:sz w:val="20"/>
              </w:rPr>
            </w:pPr>
            <w:r w:rsidRPr="008252AC">
              <w:rPr>
                <w:bCs/>
                <w:sz w:val="20"/>
              </w:rPr>
              <w:t xml:space="preserve">          Ja </w:t>
            </w:r>
          </w:p>
        </w:tc>
        <w:tc>
          <w:tcPr>
            <w:tcW w:w="1523" w:type="dxa"/>
            <w:shd w:val="clear" w:color="auto" w:fill="auto"/>
            <w:vAlign w:val="center"/>
          </w:tcPr>
          <w:p w14:paraId="516A35DE" w14:textId="77777777" w:rsidR="009D2549" w:rsidRPr="008252AC" w:rsidRDefault="009D2549" w:rsidP="00E3036B">
            <w:pPr>
              <w:contextualSpacing/>
              <w:jc w:val="center"/>
              <w:rPr>
                <w:bCs/>
                <w:sz w:val="20"/>
              </w:rPr>
            </w:pPr>
            <w:r w:rsidRPr="008252AC">
              <w:rPr>
                <w:bCs/>
                <w:sz w:val="20"/>
              </w:rPr>
              <w:t>Nei</w:t>
            </w:r>
          </w:p>
        </w:tc>
      </w:tr>
      <w:tr w:rsidR="009D2549" w:rsidRPr="008252AC" w14:paraId="0262EF31" w14:textId="77777777" w:rsidTr="00E3036B">
        <w:trPr>
          <w:trHeight w:val="690"/>
        </w:trPr>
        <w:tc>
          <w:tcPr>
            <w:tcW w:w="1522" w:type="dxa"/>
            <w:shd w:val="clear" w:color="auto" w:fill="auto"/>
            <w:vAlign w:val="center"/>
          </w:tcPr>
          <w:p w14:paraId="348B4811" w14:textId="77777777" w:rsidR="009D2549" w:rsidRPr="008252AC" w:rsidRDefault="009D2549" w:rsidP="00E3036B">
            <w:pPr>
              <w:contextualSpacing/>
              <w:rPr>
                <w:sz w:val="20"/>
              </w:rPr>
            </w:pPr>
            <w:r w:rsidRPr="008252AC">
              <w:rPr>
                <w:sz w:val="20"/>
              </w:rPr>
              <w:t>Umsitingarligar avleiðingar</w:t>
            </w:r>
          </w:p>
        </w:tc>
        <w:tc>
          <w:tcPr>
            <w:tcW w:w="1522" w:type="dxa"/>
            <w:shd w:val="clear" w:color="auto" w:fill="auto"/>
            <w:vAlign w:val="center"/>
          </w:tcPr>
          <w:p w14:paraId="5E58743D" w14:textId="77777777" w:rsidR="009D2549" w:rsidRPr="008252AC" w:rsidRDefault="009D2549" w:rsidP="00E3036B">
            <w:pPr>
              <w:contextualSpacing/>
              <w:jc w:val="center"/>
              <w:rPr>
                <w:sz w:val="20"/>
              </w:rPr>
            </w:pPr>
            <w:r w:rsidRPr="008252AC">
              <w:rPr>
                <w:sz w:val="20"/>
              </w:rPr>
              <w:t>Ja</w:t>
            </w:r>
          </w:p>
        </w:tc>
        <w:tc>
          <w:tcPr>
            <w:tcW w:w="1523" w:type="dxa"/>
            <w:shd w:val="clear" w:color="auto" w:fill="auto"/>
            <w:vAlign w:val="center"/>
          </w:tcPr>
          <w:p w14:paraId="02702D9E" w14:textId="77777777" w:rsidR="009D2549" w:rsidRPr="008252AC" w:rsidRDefault="009D2549" w:rsidP="00E3036B">
            <w:pPr>
              <w:contextualSpacing/>
              <w:jc w:val="center"/>
              <w:rPr>
                <w:sz w:val="20"/>
              </w:rPr>
            </w:pPr>
            <w:r w:rsidRPr="008252AC">
              <w:rPr>
                <w:sz w:val="20"/>
              </w:rPr>
              <w:t>Nei</w:t>
            </w:r>
          </w:p>
        </w:tc>
        <w:tc>
          <w:tcPr>
            <w:tcW w:w="1522" w:type="dxa"/>
            <w:shd w:val="clear" w:color="auto" w:fill="auto"/>
            <w:vAlign w:val="center"/>
          </w:tcPr>
          <w:p w14:paraId="2492B7A1" w14:textId="77777777" w:rsidR="009D2549" w:rsidRPr="008252AC" w:rsidRDefault="009D2549" w:rsidP="00E3036B">
            <w:pPr>
              <w:contextualSpacing/>
              <w:jc w:val="center"/>
              <w:rPr>
                <w:sz w:val="20"/>
              </w:rPr>
            </w:pPr>
            <w:r w:rsidRPr="008252AC">
              <w:rPr>
                <w:sz w:val="20"/>
              </w:rPr>
              <w:t>Nei</w:t>
            </w:r>
          </w:p>
        </w:tc>
        <w:tc>
          <w:tcPr>
            <w:tcW w:w="1522" w:type="dxa"/>
            <w:shd w:val="clear" w:color="auto" w:fill="auto"/>
            <w:vAlign w:val="center"/>
          </w:tcPr>
          <w:p w14:paraId="2B9B5BEE" w14:textId="44C1B354" w:rsidR="009D2549" w:rsidRPr="008252AC" w:rsidRDefault="00387FE7" w:rsidP="00387FE7">
            <w:pPr>
              <w:contextualSpacing/>
              <w:rPr>
                <w:sz w:val="20"/>
              </w:rPr>
            </w:pPr>
            <w:r w:rsidRPr="008252AC">
              <w:rPr>
                <w:sz w:val="20"/>
              </w:rPr>
              <w:t xml:space="preserve">         </w:t>
            </w:r>
            <w:r w:rsidR="008309FA" w:rsidRPr="008252AC">
              <w:rPr>
                <w:sz w:val="20"/>
              </w:rPr>
              <w:t>Ja</w:t>
            </w:r>
          </w:p>
        </w:tc>
        <w:tc>
          <w:tcPr>
            <w:tcW w:w="1523" w:type="dxa"/>
            <w:shd w:val="clear" w:color="auto" w:fill="auto"/>
            <w:vAlign w:val="center"/>
          </w:tcPr>
          <w:p w14:paraId="02228C09" w14:textId="77777777" w:rsidR="009D2549" w:rsidRPr="008252AC" w:rsidRDefault="009D2549" w:rsidP="00E3036B">
            <w:pPr>
              <w:contextualSpacing/>
              <w:jc w:val="center"/>
              <w:rPr>
                <w:sz w:val="20"/>
              </w:rPr>
            </w:pPr>
            <w:r w:rsidRPr="008252AC">
              <w:rPr>
                <w:sz w:val="20"/>
              </w:rPr>
              <w:t>Nei</w:t>
            </w:r>
          </w:p>
        </w:tc>
      </w:tr>
      <w:tr w:rsidR="009D2549" w:rsidRPr="008252AC" w14:paraId="2C81FD2D" w14:textId="77777777" w:rsidTr="00E3036B">
        <w:trPr>
          <w:trHeight w:val="690"/>
        </w:trPr>
        <w:tc>
          <w:tcPr>
            <w:tcW w:w="1522" w:type="dxa"/>
            <w:shd w:val="clear" w:color="auto" w:fill="auto"/>
            <w:vAlign w:val="center"/>
          </w:tcPr>
          <w:p w14:paraId="287EEDF1" w14:textId="77777777" w:rsidR="009D2549" w:rsidRPr="008252AC" w:rsidRDefault="009D2549" w:rsidP="00E3036B">
            <w:pPr>
              <w:contextualSpacing/>
              <w:rPr>
                <w:sz w:val="20"/>
              </w:rPr>
            </w:pPr>
            <w:r w:rsidRPr="008252AC">
              <w:rPr>
                <w:sz w:val="20"/>
              </w:rPr>
              <w:t>Umhvørvisligar avleiðingar</w:t>
            </w:r>
          </w:p>
        </w:tc>
        <w:tc>
          <w:tcPr>
            <w:tcW w:w="1522" w:type="dxa"/>
            <w:shd w:val="clear" w:color="auto" w:fill="auto"/>
            <w:vAlign w:val="center"/>
          </w:tcPr>
          <w:p w14:paraId="287AF770" w14:textId="77777777" w:rsidR="009D2549" w:rsidRPr="008252AC" w:rsidRDefault="009D2549" w:rsidP="00E3036B">
            <w:pPr>
              <w:contextualSpacing/>
              <w:jc w:val="center"/>
              <w:rPr>
                <w:sz w:val="20"/>
              </w:rPr>
            </w:pPr>
            <w:r w:rsidRPr="008252AC">
              <w:rPr>
                <w:sz w:val="20"/>
              </w:rPr>
              <w:t>Nei</w:t>
            </w:r>
          </w:p>
        </w:tc>
        <w:tc>
          <w:tcPr>
            <w:tcW w:w="1523" w:type="dxa"/>
            <w:shd w:val="clear" w:color="auto" w:fill="auto"/>
            <w:vAlign w:val="center"/>
          </w:tcPr>
          <w:p w14:paraId="10733B10" w14:textId="77777777" w:rsidR="009D2549" w:rsidRPr="008252AC" w:rsidRDefault="009D2549" w:rsidP="00E3036B">
            <w:pPr>
              <w:contextualSpacing/>
              <w:jc w:val="center"/>
              <w:rPr>
                <w:sz w:val="20"/>
              </w:rPr>
            </w:pPr>
            <w:r w:rsidRPr="008252AC">
              <w:rPr>
                <w:sz w:val="20"/>
              </w:rPr>
              <w:t>Nei</w:t>
            </w:r>
          </w:p>
        </w:tc>
        <w:tc>
          <w:tcPr>
            <w:tcW w:w="1522" w:type="dxa"/>
            <w:shd w:val="clear" w:color="auto" w:fill="auto"/>
            <w:vAlign w:val="center"/>
          </w:tcPr>
          <w:p w14:paraId="2FAD9135" w14:textId="77777777" w:rsidR="009D2549" w:rsidRPr="008252AC" w:rsidRDefault="009D2549" w:rsidP="00E3036B">
            <w:pPr>
              <w:contextualSpacing/>
              <w:jc w:val="center"/>
              <w:rPr>
                <w:sz w:val="20"/>
              </w:rPr>
            </w:pPr>
            <w:r w:rsidRPr="008252AC">
              <w:rPr>
                <w:sz w:val="20"/>
              </w:rPr>
              <w:t>Nei</w:t>
            </w:r>
          </w:p>
        </w:tc>
        <w:tc>
          <w:tcPr>
            <w:tcW w:w="1522" w:type="dxa"/>
            <w:shd w:val="clear" w:color="auto" w:fill="auto"/>
            <w:vAlign w:val="center"/>
          </w:tcPr>
          <w:p w14:paraId="30A8612B" w14:textId="77777777" w:rsidR="009D2549" w:rsidRPr="008252AC" w:rsidRDefault="009D2549" w:rsidP="00E3036B">
            <w:pPr>
              <w:contextualSpacing/>
              <w:jc w:val="center"/>
              <w:rPr>
                <w:sz w:val="20"/>
              </w:rPr>
            </w:pPr>
            <w:r w:rsidRPr="008252AC">
              <w:rPr>
                <w:sz w:val="20"/>
              </w:rPr>
              <w:t>Nei</w:t>
            </w:r>
          </w:p>
        </w:tc>
        <w:tc>
          <w:tcPr>
            <w:tcW w:w="1523" w:type="dxa"/>
            <w:shd w:val="clear" w:color="auto" w:fill="auto"/>
            <w:vAlign w:val="center"/>
          </w:tcPr>
          <w:p w14:paraId="46A469F7" w14:textId="77777777" w:rsidR="009D2549" w:rsidRPr="008252AC" w:rsidRDefault="009D2549" w:rsidP="00E3036B">
            <w:pPr>
              <w:contextualSpacing/>
              <w:jc w:val="center"/>
              <w:rPr>
                <w:sz w:val="20"/>
              </w:rPr>
            </w:pPr>
            <w:r w:rsidRPr="008252AC">
              <w:rPr>
                <w:sz w:val="20"/>
              </w:rPr>
              <w:t>Nei</w:t>
            </w:r>
          </w:p>
        </w:tc>
      </w:tr>
      <w:tr w:rsidR="009D2549" w:rsidRPr="008252AC" w14:paraId="2DFCCEEC" w14:textId="77777777" w:rsidTr="00E3036B">
        <w:trPr>
          <w:trHeight w:val="690"/>
        </w:trPr>
        <w:tc>
          <w:tcPr>
            <w:tcW w:w="1522" w:type="dxa"/>
            <w:shd w:val="clear" w:color="auto" w:fill="auto"/>
            <w:vAlign w:val="center"/>
          </w:tcPr>
          <w:p w14:paraId="11DA7607" w14:textId="77777777" w:rsidR="009D2549" w:rsidRPr="008252AC" w:rsidRDefault="009D2549" w:rsidP="00E3036B">
            <w:pPr>
              <w:contextualSpacing/>
              <w:rPr>
                <w:sz w:val="20"/>
              </w:rPr>
            </w:pPr>
            <w:r w:rsidRPr="008252AC">
              <w:rPr>
                <w:sz w:val="20"/>
              </w:rPr>
              <w:t>Avleiðingar í mun til altjóða avtalur og reglur</w:t>
            </w:r>
          </w:p>
        </w:tc>
        <w:tc>
          <w:tcPr>
            <w:tcW w:w="1522" w:type="dxa"/>
            <w:tcBorders>
              <w:bottom w:val="single" w:sz="4" w:space="0" w:color="auto"/>
            </w:tcBorders>
            <w:shd w:val="clear" w:color="auto" w:fill="auto"/>
            <w:vAlign w:val="center"/>
          </w:tcPr>
          <w:p w14:paraId="04EE9362" w14:textId="77777777" w:rsidR="009D2549" w:rsidRPr="008252AC" w:rsidRDefault="009D2549" w:rsidP="00E3036B">
            <w:pPr>
              <w:contextualSpacing/>
              <w:jc w:val="center"/>
              <w:rPr>
                <w:sz w:val="20"/>
              </w:rPr>
            </w:pPr>
            <w:r w:rsidRPr="008252AC">
              <w:rPr>
                <w:sz w:val="20"/>
              </w:rPr>
              <w:t>Ja</w:t>
            </w:r>
          </w:p>
        </w:tc>
        <w:tc>
          <w:tcPr>
            <w:tcW w:w="1523" w:type="dxa"/>
            <w:tcBorders>
              <w:bottom w:val="single" w:sz="4" w:space="0" w:color="auto"/>
            </w:tcBorders>
            <w:shd w:val="clear" w:color="auto" w:fill="auto"/>
            <w:vAlign w:val="center"/>
          </w:tcPr>
          <w:p w14:paraId="4F98C9DA" w14:textId="77777777" w:rsidR="009D2549" w:rsidRPr="008252AC" w:rsidRDefault="009D2549" w:rsidP="00E3036B">
            <w:pPr>
              <w:contextualSpacing/>
              <w:jc w:val="center"/>
              <w:rPr>
                <w:sz w:val="20"/>
              </w:rPr>
            </w:pPr>
            <w:r w:rsidRPr="008252AC">
              <w:rPr>
                <w:sz w:val="20"/>
              </w:rPr>
              <w:t>Nei</w:t>
            </w:r>
          </w:p>
        </w:tc>
        <w:tc>
          <w:tcPr>
            <w:tcW w:w="1522" w:type="dxa"/>
            <w:tcBorders>
              <w:bottom w:val="single" w:sz="4" w:space="0" w:color="auto"/>
            </w:tcBorders>
            <w:shd w:val="clear" w:color="auto" w:fill="auto"/>
            <w:vAlign w:val="center"/>
          </w:tcPr>
          <w:p w14:paraId="33849354" w14:textId="77777777" w:rsidR="009D2549" w:rsidRPr="008252AC" w:rsidRDefault="009D2549" w:rsidP="00E3036B">
            <w:pPr>
              <w:contextualSpacing/>
              <w:jc w:val="center"/>
              <w:rPr>
                <w:sz w:val="20"/>
              </w:rPr>
            </w:pPr>
            <w:r w:rsidRPr="008252AC">
              <w:rPr>
                <w:sz w:val="20"/>
              </w:rPr>
              <w:t>Nei</w:t>
            </w:r>
          </w:p>
        </w:tc>
        <w:tc>
          <w:tcPr>
            <w:tcW w:w="1522" w:type="dxa"/>
            <w:shd w:val="clear" w:color="auto" w:fill="auto"/>
            <w:vAlign w:val="center"/>
          </w:tcPr>
          <w:p w14:paraId="0014BCE9" w14:textId="77777777" w:rsidR="009D2549" w:rsidRPr="008252AC" w:rsidRDefault="009D2549" w:rsidP="00E3036B">
            <w:pPr>
              <w:contextualSpacing/>
              <w:jc w:val="center"/>
              <w:rPr>
                <w:sz w:val="20"/>
              </w:rPr>
            </w:pPr>
            <w:r w:rsidRPr="008252AC">
              <w:rPr>
                <w:sz w:val="20"/>
              </w:rPr>
              <w:t xml:space="preserve">Ja </w:t>
            </w:r>
          </w:p>
        </w:tc>
        <w:tc>
          <w:tcPr>
            <w:tcW w:w="1523" w:type="dxa"/>
            <w:shd w:val="clear" w:color="auto" w:fill="auto"/>
            <w:vAlign w:val="center"/>
          </w:tcPr>
          <w:p w14:paraId="369FDD62" w14:textId="77777777" w:rsidR="009D2549" w:rsidRPr="008252AC" w:rsidRDefault="009D2549" w:rsidP="00E3036B">
            <w:pPr>
              <w:contextualSpacing/>
              <w:jc w:val="center"/>
              <w:rPr>
                <w:sz w:val="20"/>
              </w:rPr>
            </w:pPr>
            <w:r w:rsidRPr="008252AC">
              <w:rPr>
                <w:sz w:val="20"/>
              </w:rPr>
              <w:t xml:space="preserve">Nei </w:t>
            </w:r>
          </w:p>
        </w:tc>
      </w:tr>
      <w:tr w:rsidR="009D2549" w:rsidRPr="008252AC" w14:paraId="5518AEFE" w14:textId="77777777" w:rsidTr="00E3036B">
        <w:trPr>
          <w:trHeight w:val="690"/>
        </w:trPr>
        <w:tc>
          <w:tcPr>
            <w:tcW w:w="1522" w:type="dxa"/>
            <w:shd w:val="clear" w:color="auto" w:fill="auto"/>
            <w:vAlign w:val="center"/>
          </w:tcPr>
          <w:p w14:paraId="569AFE70" w14:textId="77777777" w:rsidR="009D2549" w:rsidRPr="008252AC" w:rsidRDefault="009D2549" w:rsidP="00E3036B">
            <w:pPr>
              <w:contextualSpacing/>
              <w:rPr>
                <w:sz w:val="20"/>
              </w:rPr>
            </w:pPr>
            <w:r w:rsidRPr="008252AC">
              <w:rPr>
                <w:sz w:val="20"/>
              </w:rPr>
              <w:t>Sosialar avleiðingar</w:t>
            </w:r>
          </w:p>
        </w:tc>
        <w:tc>
          <w:tcPr>
            <w:tcW w:w="3045" w:type="dxa"/>
            <w:gridSpan w:val="2"/>
            <w:tcBorders>
              <w:bottom w:val="single" w:sz="4" w:space="0" w:color="auto"/>
            </w:tcBorders>
            <w:shd w:val="clear" w:color="auto" w:fill="000000" w:themeFill="text1"/>
            <w:vAlign w:val="center"/>
          </w:tcPr>
          <w:p w14:paraId="131FEC33" w14:textId="77777777" w:rsidR="009D2549" w:rsidRPr="008252AC" w:rsidRDefault="009D2549" w:rsidP="00E3036B">
            <w:pPr>
              <w:contextualSpacing/>
              <w:jc w:val="center"/>
              <w:rPr>
                <w:b/>
                <w:bCs/>
                <w:sz w:val="20"/>
                <w:highlight w:val="black"/>
              </w:rPr>
            </w:pPr>
          </w:p>
        </w:tc>
        <w:tc>
          <w:tcPr>
            <w:tcW w:w="1522" w:type="dxa"/>
            <w:tcBorders>
              <w:bottom w:val="single" w:sz="4" w:space="0" w:color="auto"/>
            </w:tcBorders>
            <w:shd w:val="clear" w:color="auto" w:fill="auto"/>
            <w:vAlign w:val="center"/>
          </w:tcPr>
          <w:p w14:paraId="4AB52E61" w14:textId="77777777" w:rsidR="009D2549" w:rsidRPr="008252AC" w:rsidRDefault="009D2549" w:rsidP="00E3036B">
            <w:pPr>
              <w:contextualSpacing/>
              <w:jc w:val="center"/>
              <w:rPr>
                <w:sz w:val="20"/>
              </w:rPr>
            </w:pPr>
            <w:r w:rsidRPr="008252AC">
              <w:rPr>
                <w:sz w:val="20"/>
              </w:rPr>
              <w:t>Nei</w:t>
            </w:r>
          </w:p>
        </w:tc>
        <w:tc>
          <w:tcPr>
            <w:tcW w:w="1522" w:type="dxa"/>
            <w:shd w:val="clear" w:color="auto" w:fill="auto"/>
            <w:vAlign w:val="center"/>
          </w:tcPr>
          <w:p w14:paraId="23C10E84" w14:textId="77777777" w:rsidR="009D2549" w:rsidRPr="008252AC" w:rsidRDefault="009D2549" w:rsidP="00E3036B">
            <w:pPr>
              <w:contextualSpacing/>
              <w:jc w:val="center"/>
              <w:rPr>
                <w:sz w:val="20"/>
              </w:rPr>
            </w:pPr>
            <w:r w:rsidRPr="008252AC">
              <w:rPr>
                <w:sz w:val="20"/>
              </w:rPr>
              <w:t>Ja</w:t>
            </w:r>
          </w:p>
        </w:tc>
        <w:tc>
          <w:tcPr>
            <w:tcW w:w="1523" w:type="dxa"/>
            <w:shd w:val="clear" w:color="auto" w:fill="000000" w:themeFill="text1"/>
            <w:vAlign w:val="center"/>
          </w:tcPr>
          <w:p w14:paraId="4056982C" w14:textId="77777777" w:rsidR="009D2549" w:rsidRPr="008252AC" w:rsidRDefault="009D2549" w:rsidP="00E3036B">
            <w:pPr>
              <w:contextualSpacing/>
              <w:jc w:val="center"/>
              <w:rPr>
                <w:b/>
                <w:bCs/>
                <w:sz w:val="20"/>
              </w:rPr>
            </w:pPr>
          </w:p>
        </w:tc>
      </w:tr>
    </w:tbl>
    <w:p w14:paraId="2EFE2C67" w14:textId="77777777" w:rsidR="009D2549" w:rsidRPr="008252AC" w:rsidRDefault="009D2549" w:rsidP="009D2549">
      <w:pPr>
        <w:rPr>
          <w:b/>
          <w:bCs/>
          <w:color w:val="000000"/>
          <w:szCs w:val="26"/>
        </w:rPr>
      </w:pPr>
    </w:p>
    <w:p w14:paraId="67FA34FF" w14:textId="77777777" w:rsidR="009D2549" w:rsidRPr="008252AC" w:rsidRDefault="009D2549" w:rsidP="009D2549">
      <w:pPr>
        <w:rPr>
          <w:b/>
          <w:bCs/>
          <w:color w:val="000000"/>
          <w:szCs w:val="26"/>
        </w:rPr>
      </w:pPr>
    </w:p>
    <w:p w14:paraId="04D002B7" w14:textId="77777777" w:rsidR="009D2549" w:rsidRPr="008252AC" w:rsidRDefault="009D2549" w:rsidP="009D2549">
      <w:pPr>
        <w:rPr>
          <w:b/>
          <w:bCs/>
          <w:color w:val="000000"/>
          <w:szCs w:val="26"/>
        </w:rPr>
      </w:pPr>
      <w:r w:rsidRPr="008252AC">
        <w:rPr>
          <w:b/>
          <w:bCs/>
          <w:color w:val="000000"/>
          <w:szCs w:val="26"/>
        </w:rPr>
        <w:br w:type="page"/>
      </w:r>
    </w:p>
    <w:p w14:paraId="3B04E56C" w14:textId="77777777" w:rsidR="009D2549" w:rsidRPr="008252AC" w:rsidRDefault="009D2549" w:rsidP="009D2549">
      <w:pPr>
        <w:rPr>
          <w:b/>
          <w:bCs/>
          <w:color w:val="000000"/>
          <w:szCs w:val="26"/>
        </w:rPr>
      </w:pPr>
      <w:r w:rsidRPr="008252AC">
        <w:rPr>
          <w:b/>
          <w:bCs/>
          <w:color w:val="000000"/>
          <w:szCs w:val="26"/>
        </w:rPr>
        <w:lastRenderedPageBreak/>
        <w:t xml:space="preserve">Kapittul 3. </w:t>
      </w:r>
      <w:r w:rsidRPr="008252AC">
        <w:rPr>
          <w:b/>
        </w:rPr>
        <w:t>Serligar viðmerkingar</w:t>
      </w:r>
    </w:p>
    <w:p w14:paraId="45E229E4" w14:textId="77777777" w:rsidR="009D2549" w:rsidRDefault="009D2549" w:rsidP="009D2549">
      <w:pPr>
        <w:rPr>
          <w:b/>
          <w:szCs w:val="24"/>
        </w:rPr>
      </w:pPr>
    </w:p>
    <w:p w14:paraId="5E3DFA1F" w14:textId="77777777" w:rsidR="008252AC" w:rsidRPr="008252AC" w:rsidRDefault="008252AC" w:rsidP="009D2549">
      <w:pPr>
        <w:rPr>
          <w:b/>
          <w:szCs w:val="24"/>
        </w:rPr>
      </w:pPr>
    </w:p>
    <w:p w14:paraId="106DD883" w14:textId="77777777" w:rsidR="009D2549" w:rsidRPr="008252AC" w:rsidRDefault="009D2549" w:rsidP="009D2549">
      <w:pPr>
        <w:jc w:val="both"/>
        <w:rPr>
          <w:b/>
          <w:szCs w:val="24"/>
        </w:rPr>
      </w:pPr>
      <w:r w:rsidRPr="008252AC">
        <w:rPr>
          <w:b/>
          <w:szCs w:val="24"/>
        </w:rPr>
        <w:t>3.1. Viðmerkingar til ta einstøku greinina</w:t>
      </w:r>
    </w:p>
    <w:p w14:paraId="6117D468" w14:textId="77777777" w:rsidR="009D2549" w:rsidRPr="008252AC" w:rsidRDefault="009D2549" w:rsidP="009D2549">
      <w:pPr>
        <w:jc w:val="both"/>
        <w:rPr>
          <w:b/>
          <w:szCs w:val="24"/>
        </w:rPr>
      </w:pPr>
    </w:p>
    <w:p w14:paraId="6A3C8A2C" w14:textId="77777777" w:rsidR="009D2549" w:rsidRPr="008252AC" w:rsidRDefault="009D2549" w:rsidP="009D2549">
      <w:pPr>
        <w:jc w:val="both"/>
        <w:rPr>
          <w:b/>
          <w:szCs w:val="24"/>
        </w:rPr>
      </w:pPr>
      <w:r w:rsidRPr="008252AC">
        <w:rPr>
          <w:b/>
          <w:szCs w:val="24"/>
        </w:rPr>
        <w:t>Til § 1</w:t>
      </w:r>
    </w:p>
    <w:p w14:paraId="2F8DA582" w14:textId="77777777" w:rsidR="009D2549" w:rsidRPr="008252AC" w:rsidRDefault="009D2549" w:rsidP="009D2549">
      <w:pPr>
        <w:jc w:val="both"/>
        <w:rPr>
          <w:szCs w:val="24"/>
        </w:rPr>
      </w:pPr>
    </w:p>
    <w:p w14:paraId="681338CD" w14:textId="77777777" w:rsidR="009D2549" w:rsidRPr="008252AC" w:rsidRDefault="009D2549" w:rsidP="009D2549">
      <w:pPr>
        <w:jc w:val="both"/>
      </w:pPr>
      <w:r w:rsidRPr="008252AC">
        <w:rPr>
          <w:b/>
        </w:rPr>
        <w:t>Til nr. 1.</w:t>
      </w:r>
    </w:p>
    <w:p w14:paraId="447702BD" w14:textId="77777777" w:rsidR="009D2549" w:rsidRPr="008252AC" w:rsidRDefault="009D2549" w:rsidP="009D2549">
      <w:pPr>
        <w:jc w:val="both"/>
        <w:rPr>
          <w:i/>
          <w:iCs/>
        </w:rPr>
      </w:pPr>
      <w:r w:rsidRPr="008252AC">
        <w:rPr>
          <w:i/>
          <w:iCs/>
        </w:rPr>
        <w:t>§ 24</w:t>
      </w:r>
    </w:p>
    <w:p w14:paraId="24B0E693" w14:textId="77777777" w:rsidR="009D2549" w:rsidRPr="008252AC" w:rsidRDefault="009D2549" w:rsidP="009D2549">
      <w:pPr>
        <w:jc w:val="both"/>
      </w:pPr>
      <w:r w:rsidRPr="008252AC">
        <w:t>Í galdandi Heilsutrygdarlóg er yvirskriftin yvir § 24: “</w:t>
      </w:r>
      <w:r w:rsidRPr="008252AC">
        <w:rPr>
          <w:i/>
        </w:rPr>
        <w:t>Gjald fyri 4</w:t>
      </w:r>
      <w:r w:rsidRPr="008252AC">
        <w:t>”</w:t>
      </w:r>
      <w:r w:rsidRPr="008252AC">
        <w:rPr>
          <w:i/>
        </w:rPr>
        <w:t>.</w:t>
      </w:r>
      <w:r w:rsidRPr="008252AC">
        <w:t xml:space="preserve"> Orðingin er ikki røtt, og verður við hesum lógaruppskoti rættað til: “</w:t>
      </w:r>
      <w:r w:rsidRPr="008252AC">
        <w:rPr>
          <w:i/>
        </w:rPr>
        <w:t>Gjald</w:t>
      </w:r>
      <w:r w:rsidRPr="008252AC">
        <w:t>”.</w:t>
      </w:r>
    </w:p>
    <w:p w14:paraId="318A6E0B" w14:textId="77777777" w:rsidR="009D2549" w:rsidRPr="008252AC" w:rsidRDefault="009D2549" w:rsidP="009D2549">
      <w:pPr>
        <w:jc w:val="both"/>
      </w:pPr>
    </w:p>
    <w:p w14:paraId="26AC7144" w14:textId="77777777" w:rsidR="009D2549" w:rsidRPr="008252AC" w:rsidRDefault="009D2549" w:rsidP="009D2549">
      <w:pPr>
        <w:jc w:val="both"/>
        <w:rPr>
          <w:b/>
        </w:rPr>
      </w:pPr>
      <w:bookmarkStart w:id="0" w:name="_Hlk151977706"/>
      <w:r w:rsidRPr="008252AC">
        <w:rPr>
          <w:b/>
        </w:rPr>
        <w:t xml:space="preserve">Til nr. 2. </w:t>
      </w:r>
    </w:p>
    <w:p w14:paraId="40820C4E" w14:textId="77777777" w:rsidR="009D2549" w:rsidRPr="008252AC" w:rsidRDefault="009D2549" w:rsidP="009D2549">
      <w:pPr>
        <w:jc w:val="both"/>
        <w:rPr>
          <w:bCs/>
          <w:i/>
          <w:iCs/>
        </w:rPr>
      </w:pPr>
      <w:r w:rsidRPr="008252AC">
        <w:rPr>
          <w:bCs/>
          <w:i/>
          <w:iCs/>
        </w:rPr>
        <w:t>§ 24, stk. 2</w:t>
      </w:r>
    </w:p>
    <w:p w14:paraId="581ED491" w14:textId="77777777" w:rsidR="009D2549" w:rsidRPr="008252AC" w:rsidRDefault="009D2549" w:rsidP="009D2549">
      <w:pPr>
        <w:jc w:val="both"/>
      </w:pPr>
      <w:r w:rsidRPr="008252AC">
        <w:t xml:space="preserve">Sambært hesari áseting kunnu persónar, sum eftir § 24 stk. 1, hava skyldu til at rinda heilsutrygdargjald í Føroyum, men sum rinda heilsutrygdargjald í øðrum Norðanlandi vísandi til Nordisk konvention om social sikring, eftir umsókn sleppa undan gjaldskyldu. </w:t>
      </w:r>
    </w:p>
    <w:p w14:paraId="31CD9C6A" w14:textId="77777777" w:rsidR="009D2549" w:rsidRPr="008252AC" w:rsidRDefault="009D2549" w:rsidP="009D2549">
      <w:pPr>
        <w:jc w:val="both"/>
      </w:pPr>
    </w:p>
    <w:p w14:paraId="37F64AE7" w14:textId="77777777" w:rsidR="009D2549" w:rsidRPr="008252AC" w:rsidRDefault="009D2549" w:rsidP="009D2549">
      <w:pPr>
        <w:jc w:val="both"/>
      </w:pPr>
      <w:r w:rsidRPr="008252AC">
        <w:t xml:space="preserve">Orsøkin til, at krav verður sett um, at borgari skal senda inn umsókn, er, at tað er borgarin sjálvur, ið hevur vitanina um, hvar hann rindar heilsutrygdargjald. Heilsutrygd hevur ikki hesa vitanina. </w:t>
      </w:r>
    </w:p>
    <w:p w14:paraId="7EA442D3" w14:textId="77777777" w:rsidR="009D2549" w:rsidRPr="008252AC" w:rsidRDefault="009D2549" w:rsidP="009D2549">
      <w:pPr>
        <w:jc w:val="both"/>
      </w:pPr>
    </w:p>
    <w:p w14:paraId="7EA4A0B8" w14:textId="77777777" w:rsidR="009D2549" w:rsidRPr="008252AC" w:rsidRDefault="009D2549" w:rsidP="009D2549">
      <w:pPr>
        <w:jc w:val="both"/>
      </w:pPr>
      <w:r w:rsidRPr="008252AC">
        <w:t xml:space="preserve">Undantøkan hevur virknað frá tí degi, umsóknin er móttikin. </w:t>
      </w:r>
    </w:p>
    <w:p w14:paraId="0CB6ADA8" w14:textId="77777777" w:rsidR="009D2549" w:rsidRPr="008252AC" w:rsidRDefault="009D2549" w:rsidP="009D2549">
      <w:pPr>
        <w:jc w:val="both"/>
      </w:pPr>
    </w:p>
    <w:p w14:paraId="5730AE6B" w14:textId="77777777" w:rsidR="009D2549" w:rsidRPr="008252AC" w:rsidRDefault="009D2549" w:rsidP="009D2549">
      <w:pPr>
        <w:jc w:val="both"/>
      </w:pPr>
      <w:r w:rsidRPr="008252AC">
        <w:t>Tá ið ein persónur ikki longur rindar heilsutrygdargjald í øðrum Norðanlandi, hevur viðkomandi skyldu til at boða Heilsutrygd frá hesum.</w:t>
      </w:r>
    </w:p>
    <w:p w14:paraId="31160D22" w14:textId="77777777" w:rsidR="009D2549" w:rsidRPr="008252AC" w:rsidRDefault="009D2549" w:rsidP="009D2549">
      <w:pPr>
        <w:jc w:val="both"/>
      </w:pPr>
    </w:p>
    <w:p w14:paraId="360298C2" w14:textId="77777777" w:rsidR="009D2549" w:rsidRPr="008252AC" w:rsidRDefault="009D2549" w:rsidP="009D2549">
      <w:pPr>
        <w:jc w:val="both"/>
      </w:pPr>
      <w:r w:rsidRPr="008252AC">
        <w:t>Stk. 2 og 3 verða eftir hetta stk. 3 og 4.</w:t>
      </w:r>
    </w:p>
    <w:p w14:paraId="6867CBAB" w14:textId="77777777" w:rsidR="006A5FB8" w:rsidRPr="008252AC" w:rsidRDefault="006A5FB8" w:rsidP="009D2549">
      <w:pPr>
        <w:jc w:val="both"/>
      </w:pPr>
    </w:p>
    <w:bookmarkEnd w:id="0"/>
    <w:p w14:paraId="6D35623E" w14:textId="77777777" w:rsidR="009D2549" w:rsidRPr="008252AC" w:rsidRDefault="009D2549" w:rsidP="009D2549">
      <w:pPr>
        <w:jc w:val="both"/>
        <w:rPr>
          <w:b/>
        </w:rPr>
      </w:pPr>
      <w:r w:rsidRPr="008252AC">
        <w:rPr>
          <w:b/>
        </w:rPr>
        <w:t>Til nr. 3.</w:t>
      </w:r>
    </w:p>
    <w:p w14:paraId="3406C9AD" w14:textId="77777777" w:rsidR="009D2549" w:rsidRPr="008252AC" w:rsidRDefault="009D2549" w:rsidP="009D2549">
      <w:pPr>
        <w:jc w:val="both"/>
        <w:rPr>
          <w:bCs/>
          <w:i/>
          <w:iCs/>
        </w:rPr>
      </w:pPr>
      <w:r w:rsidRPr="008252AC">
        <w:rPr>
          <w:bCs/>
          <w:i/>
          <w:iCs/>
        </w:rPr>
        <w:t>§ 24, stk. 5</w:t>
      </w:r>
    </w:p>
    <w:p w14:paraId="0373D415" w14:textId="0F2EB394" w:rsidR="009D2549" w:rsidRPr="008252AC" w:rsidRDefault="009D2549" w:rsidP="009D2549">
      <w:pPr>
        <w:jc w:val="both"/>
      </w:pPr>
      <w:r w:rsidRPr="008252AC">
        <w:t>Landsstýris</w:t>
      </w:r>
      <w:r w:rsidR="00DF72BC" w:rsidRPr="008252AC">
        <w:t>fólkið</w:t>
      </w:r>
      <w:r w:rsidRPr="008252AC">
        <w:t xml:space="preserve"> ásetir nærri reglur um viðurskifti viðvíkjandi umsókn og fráboðanarskyldu. Landsstýris</w:t>
      </w:r>
      <w:r w:rsidR="00DF72BC" w:rsidRPr="008252AC">
        <w:t>fólkið</w:t>
      </w:r>
      <w:r w:rsidRPr="008252AC">
        <w:t xml:space="preserve"> fær hervið heimild til at áseta reglur um mannagongdir í sambandi við umsókn og fráboðanarskyldu sambært § 24, stk. 2.</w:t>
      </w:r>
    </w:p>
    <w:p w14:paraId="0D9BE221" w14:textId="77777777" w:rsidR="009D2549" w:rsidRPr="008252AC" w:rsidRDefault="009D2549" w:rsidP="009D2549">
      <w:pPr>
        <w:jc w:val="both"/>
        <w:rPr>
          <w:b/>
        </w:rPr>
      </w:pPr>
    </w:p>
    <w:p w14:paraId="303EBDD1" w14:textId="77777777" w:rsidR="009D2549" w:rsidRPr="008252AC" w:rsidRDefault="009D2549" w:rsidP="009D2549">
      <w:pPr>
        <w:jc w:val="both"/>
        <w:rPr>
          <w:b/>
        </w:rPr>
      </w:pPr>
      <w:r w:rsidRPr="008252AC">
        <w:rPr>
          <w:b/>
        </w:rPr>
        <w:t xml:space="preserve">Til nr. 4. </w:t>
      </w:r>
    </w:p>
    <w:p w14:paraId="7204CCBF" w14:textId="77777777" w:rsidR="009D2549" w:rsidRPr="008252AC" w:rsidRDefault="009D2549" w:rsidP="009D2549">
      <w:pPr>
        <w:jc w:val="both"/>
        <w:rPr>
          <w:bCs/>
          <w:i/>
          <w:iCs/>
        </w:rPr>
      </w:pPr>
      <w:r w:rsidRPr="008252AC">
        <w:rPr>
          <w:bCs/>
          <w:i/>
          <w:iCs/>
        </w:rPr>
        <w:t>§ 26, stk. 1</w:t>
      </w:r>
    </w:p>
    <w:p w14:paraId="3D2FA2B7" w14:textId="77777777" w:rsidR="009D2549" w:rsidRPr="008252AC" w:rsidRDefault="009D2549" w:rsidP="009D2549">
      <w:pPr>
        <w:jc w:val="both"/>
      </w:pPr>
      <w:r w:rsidRPr="008252AC">
        <w:t>Í annað punktum í § 26 verður sett áseting um, at Heilsutrygd til nýtslu í sambandi við umsókn um gjaldsfrítøku sambært § 24, stk. 2, kann útvega sær upplýsingar frá øðrum viðkomandi myndugleikum, undir hesum TAKS.</w:t>
      </w:r>
    </w:p>
    <w:p w14:paraId="67820C89" w14:textId="77777777" w:rsidR="009D2549" w:rsidRPr="008252AC" w:rsidRDefault="009D2549" w:rsidP="009D2549">
      <w:pPr>
        <w:jc w:val="both"/>
        <w:rPr>
          <w:b/>
        </w:rPr>
      </w:pPr>
    </w:p>
    <w:p w14:paraId="0327DD9B" w14:textId="77777777" w:rsidR="009D2549" w:rsidRPr="008252AC" w:rsidRDefault="009D2549" w:rsidP="009D2549">
      <w:pPr>
        <w:jc w:val="both"/>
        <w:rPr>
          <w:b/>
        </w:rPr>
      </w:pPr>
      <w:r w:rsidRPr="008252AC">
        <w:rPr>
          <w:b/>
        </w:rPr>
        <w:t xml:space="preserve">Til nr. 5. </w:t>
      </w:r>
    </w:p>
    <w:p w14:paraId="2B6D4420" w14:textId="77777777" w:rsidR="009D2549" w:rsidRPr="008252AC" w:rsidRDefault="009D2549" w:rsidP="009D2549">
      <w:pPr>
        <w:jc w:val="both"/>
        <w:rPr>
          <w:bCs/>
          <w:i/>
          <w:iCs/>
        </w:rPr>
      </w:pPr>
      <w:r w:rsidRPr="008252AC">
        <w:rPr>
          <w:bCs/>
          <w:i/>
          <w:iCs/>
        </w:rPr>
        <w:t>§ 26, stk. 2</w:t>
      </w:r>
    </w:p>
    <w:p w14:paraId="19DB37AD" w14:textId="16AF8111" w:rsidR="009D2549" w:rsidRPr="008252AC" w:rsidRDefault="009D2549" w:rsidP="009D2549">
      <w:pPr>
        <w:jc w:val="both"/>
      </w:pPr>
      <w:r w:rsidRPr="008252AC">
        <w:t xml:space="preserve">Í § 26, stk. 2 verður sett áseting um, at um ein persónur hevur givið Heilsutrygd skeivar upplýsingar ella tagt um umstøður, sum hava týdning fyri gjaldsfrítøku sambært § 24, stk. 2, kann Heilsutrygd eftirfylgjandi krevja inn gjaldið, ið viðkomandi av órøttum ikki hevur goldið. Gjaldið kann krevjast við at afturhalda løn v.m. eftir reglunum um innkrevjing av persónligum skatti. </w:t>
      </w:r>
    </w:p>
    <w:p w14:paraId="09F3AD3C" w14:textId="77777777" w:rsidR="009D2549" w:rsidRPr="008252AC" w:rsidRDefault="009D2549" w:rsidP="009D2549">
      <w:pPr>
        <w:jc w:val="both"/>
      </w:pPr>
    </w:p>
    <w:p w14:paraId="644991EA" w14:textId="77777777" w:rsidR="009D2549" w:rsidRPr="008252AC" w:rsidRDefault="009D2549" w:rsidP="009D2549">
      <w:pPr>
        <w:jc w:val="both"/>
        <w:rPr>
          <w:i/>
          <w:iCs/>
        </w:rPr>
      </w:pPr>
      <w:r w:rsidRPr="008252AC">
        <w:rPr>
          <w:i/>
          <w:iCs/>
        </w:rPr>
        <w:t>§ 26, stk. 3</w:t>
      </w:r>
    </w:p>
    <w:p w14:paraId="756FA3E8" w14:textId="77777777" w:rsidR="009D2549" w:rsidRPr="008252AC" w:rsidRDefault="009D2549" w:rsidP="009D2549">
      <w:pPr>
        <w:jc w:val="both"/>
      </w:pPr>
      <w:r w:rsidRPr="008252AC">
        <w:lastRenderedPageBreak/>
        <w:t xml:space="preserve">Í § 26, stk. 3 verður ásett, at um ein persónur, ið er fevndur av lógini, ikki rindar gjaldið innan ásettu freist, verður rentutilskriving framd. Rentutilskrivingin er 0,7% fyri hvønn byrjaðan mánað. Sama er galdandi fyri skuldskrivaða rentu. Tað vil siga, at um ein persónur, ið er frítikin fyri at rinda heilsutrygdargjald, ikki uppfyllir treytirnar fyri frítøku, verður her ásett heimild til at upprætta krav og rentutilskriving, um kravið ikki verður goldið til tíðina. </w:t>
      </w:r>
      <w:r w:rsidRPr="008252AC">
        <w:rPr>
          <w:color w:val="000000" w:themeColor="text1"/>
        </w:rPr>
        <w:t>Í § 26, stk. 2 verður renturokningin fyri almennum krøvum nýtt. Rentulógin verður ikki nýtt. Grundgevingin fyri hesum er, at tá tað er TAKS, sum innheintar skuldina, verður kravið lagt inn í innkrevjingarskipanina hjá TAKS, og har er rentusatsurin líka fyri øll almenn krøv.</w:t>
      </w:r>
    </w:p>
    <w:p w14:paraId="56EFFCAE" w14:textId="77777777" w:rsidR="009D2549" w:rsidRPr="008252AC" w:rsidRDefault="009D2549" w:rsidP="009D2549">
      <w:pPr>
        <w:jc w:val="both"/>
      </w:pPr>
    </w:p>
    <w:p w14:paraId="4FBD93B9" w14:textId="77777777" w:rsidR="009D2549" w:rsidRPr="008252AC" w:rsidRDefault="009D2549" w:rsidP="009D2549">
      <w:pPr>
        <w:jc w:val="both"/>
        <w:rPr>
          <w:b/>
        </w:rPr>
      </w:pPr>
      <w:r w:rsidRPr="008252AC">
        <w:rPr>
          <w:b/>
        </w:rPr>
        <w:t xml:space="preserve">Til nr. 6. </w:t>
      </w:r>
    </w:p>
    <w:p w14:paraId="36D90B5B" w14:textId="77777777" w:rsidR="009D2549" w:rsidRPr="008252AC" w:rsidRDefault="009D2549" w:rsidP="009D2549">
      <w:pPr>
        <w:jc w:val="both"/>
        <w:rPr>
          <w:bCs/>
          <w:i/>
          <w:iCs/>
        </w:rPr>
      </w:pPr>
      <w:r w:rsidRPr="008252AC">
        <w:rPr>
          <w:bCs/>
          <w:i/>
          <w:iCs/>
        </w:rPr>
        <w:t>§ 26 a</w:t>
      </w:r>
    </w:p>
    <w:p w14:paraId="3F957228" w14:textId="04E98CF0" w:rsidR="009D2549" w:rsidRPr="008252AC" w:rsidRDefault="009D2549" w:rsidP="009D2549">
      <w:pPr>
        <w:jc w:val="both"/>
      </w:pPr>
      <w:r w:rsidRPr="008252AC">
        <w:t>Nýggj grein 26 a verður sett inn í lógina og yvirskriftin til greinina verður “</w:t>
      </w:r>
      <w:r w:rsidR="00D33FA1" w:rsidRPr="008252AC">
        <w:rPr>
          <w:i/>
        </w:rPr>
        <w:t>I</w:t>
      </w:r>
      <w:r w:rsidRPr="008252AC">
        <w:rPr>
          <w:i/>
        </w:rPr>
        <w:t>nnheinting av skuld</w:t>
      </w:r>
      <w:r w:rsidRPr="008252AC">
        <w:t>”. Í greinini verða ásettar reglur um innheinting av heilsutrygdargjaldi umframt rentu við panting.</w:t>
      </w:r>
    </w:p>
    <w:p w14:paraId="63494909" w14:textId="77777777" w:rsidR="009D2549" w:rsidRPr="008252AC" w:rsidRDefault="009D2549" w:rsidP="009D2549">
      <w:pPr>
        <w:jc w:val="both"/>
      </w:pPr>
    </w:p>
    <w:p w14:paraId="0D83DCAD" w14:textId="77777777" w:rsidR="009D2549" w:rsidRPr="008252AC" w:rsidRDefault="009D2549" w:rsidP="009D2549">
      <w:pPr>
        <w:jc w:val="both"/>
        <w:rPr>
          <w:b/>
        </w:rPr>
      </w:pPr>
      <w:r w:rsidRPr="008252AC">
        <w:rPr>
          <w:b/>
        </w:rPr>
        <w:t xml:space="preserve">Til § 2. </w:t>
      </w:r>
    </w:p>
    <w:p w14:paraId="16B59CBC" w14:textId="53611D41" w:rsidR="009D2549" w:rsidRPr="008252AC" w:rsidRDefault="009D2549" w:rsidP="009D2549">
      <w:pPr>
        <w:jc w:val="both"/>
      </w:pPr>
      <w:r w:rsidRPr="008252AC">
        <w:t xml:space="preserve">Lógin kemur í gildi </w:t>
      </w:r>
      <w:r w:rsidR="00701073" w:rsidRPr="008252AC">
        <w:t>1</w:t>
      </w:r>
      <w:r w:rsidR="0016369D" w:rsidRPr="008252AC">
        <w:t xml:space="preserve">. </w:t>
      </w:r>
      <w:r w:rsidR="00701073" w:rsidRPr="008252AC">
        <w:t>juli</w:t>
      </w:r>
      <w:r w:rsidR="0016369D" w:rsidRPr="008252AC">
        <w:t xml:space="preserve"> 2024.</w:t>
      </w:r>
    </w:p>
    <w:p w14:paraId="504AA180" w14:textId="77777777" w:rsidR="009D2549" w:rsidRPr="008252AC" w:rsidRDefault="009D2549" w:rsidP="009D2549">
      <w:pPr>
        <w:jc w:val="both"/>
        <w:rPr>
          <w:szCs w:val="24"/>
        </w:rPr>
      </w:pPr>
    </w:p>
    <w:p w14:paraId="5A229719" w14:textId="77777777" w:rsidR="009D2549" w:rsidRPr="008252AC" w:rsidRDefault="009D2549" w:rsidP="009D2549">
      <w:pPr>
        <w:jc w:val="both"/>
        <w:rPr>
          <w:szCs w:val="24"/>
        </w:rPr>
      </w:pPr>
    </w:p>
    <w:p w14:paraId="7C0B6DA0" w14:textId="77777777" w:rsidR="009D2549" w:rsidRPr="008252AC" w:rsidRDefault="009D2549" w:rsidP="009D2549">
      <w:pPr>
        <w:jc w:val="both"/>
        <w:rPr>
          <w:szCs w:val="24"/>
        </w:rPr>
      </w:pPr>
    </w:p>
    <w:p w14:paraId="3B764DEB" w14:textId="77777777" w:rsidR="009D2549" w:rsidRPr="008252AC" w:rsidRDefault="009D2549" w:rsidP="009D2549">
      <w:pPr>
        <w:rPr>
          <w:szCs w:val="24"/>
        </w:rPr>
      </w:pPr>
    </w:p>
    <w:p w14:paraId="44980F28" w14:textId="3C8EFFF3" w:rsidR="009D2549" w:rsidRPr="008252AC" w:rsidRDefault="009D2549" w:rsidP="009D2549">
      <w:pPr>
        <w:jc w:val="center"/>
        <w:rPr>
          <w:szCs w:val="24"/>
        </w:rPr>
      </w:pPr>
      <w:r w:rsidRPr="008252AC">
        <w:rPr>
          <w:szCs w:val="24"/>
        </w:rPr>
        <w:t xml:space="preserve">Heilsumálaráðið, </w:t>
      </w:r>
      <w:r w:rsidR="00701073" w:rsidRPr="008252AC">
        <w:rPr>
          <w:szCs w:val="24"/>
        </w:rPr>
        <w:t>2</w:t>
      </w:r>
      <w:r w:rsidR="00455AE6">
        <w:rPr>
          <w:szCs w:val="24"/>
        </w:rPr>
        <w:t>. januar</w:t>
      </w:r>
      <w:r w:rsidRPr="008252AC">
        <w:rPr>
          <w:szCs w:val="24"/>
        </w:rPr>
        <w:t xml:space="preserve"> 2023</w:t>
      </w:r>
    </w:p>
    <w:p w14:paraId="188A42C2" w14:textId="77777777" w:rsidR="009D2549" w:rsidRDefault="009D2549" w:rsidP="009D2549">
      <w:pPr>
        <w:jc w:val="center"/>
        <w:rPr>
          <w:szCs w:val="24"/>
        </w:rPr>
      </w:pPr>
    </w:p>
    <w:p w14:paraId="4F8403FD" w14:textId="77777777" w:rsidR="008252AC" w:rsidRDefault="008252AC" w:rsidP="009D2549">
      <w:pPr>
        <w:jc w:val="center"/>
        <w:rPr>
          <w:szCs w:val="24"/>
        </w:rPr>
      </w:pPr>
    </w:p>
    <w:p w14:paraId="26BA7150" w14:textId="77777777" w:rsidR="008252AC" w:rsidRPr="008252AC" w:rsidRDefault="008252AC" w:rsidP="009D2549">
      <w:pPr>
        <w:jc w:val="center"/>
        <w:rPr>
          <w:szCs w:val="24"/>
        </w:rPr>
      </w:pPr>
    </w:p>
    <w:p w14:paraId="0B2FBC0F" w14:textId="77777777" w:rsidR="009D2549" w:rsidRPr="008252AC" w:rsidRDefault="009D2549" w:rsidP="009D2549">
      <w:pPr>
        <w:jc w:val="center"/>
        <w:rPr>
          <w:b/>
          <w:szCs w:val="24"/>
        </w:rPr>
      </w:pPr>
      <w:r w:rsidRPr="008252AC">
        <w:rPr>
          <w:b/>
          <w:szCs w:val="24"/>
        </w:rPr>
        <w:t>Margit Stórá</w:t>
      </w:r>
    </w:p>
    <w:p w14:paraId="414E4C0A" w14:textId="77777777" w:rsidR="009D2549" w:rsidRPr="008252AC" w:rsidRDefault="009D2549" w:rsidP="009D2549">
      <w:pPr>
        <w:jc w:val="center"/>
        <w:rPr>
          <w:szCs w:val="24"/>
        </w:rPr>
      </w:pPr>
      <w:r w:rsidRPr="008252AC">
        <w:rPr>
          <w:szCs w:val="24"/>
        </w:rPr>
        <w:t>landsstýriskvinna</w:t>
      </w:r>
    </w:p>
    <w:p w14:paraId="73C7E522" w14:textId="77777777" w:rsidR="009D2549" w:rsidRPr="008252AC" w:rsidRDefault="009D2549" w:rsidP="009D2549">
      <w:pPr>
        <w:jc w:val="right"/>
        <w:rPr>
          <w:szCs w:val="24"/>
        </w:rPr>
      </w:pPr>
    </w:p>
    <w:p w14:paraId="56AE50D2" w14:textId="5ACA7828" w:rsidR="009D2549" w:rsidRPr="008252AC" w:rsidRDefault="009D2549" w:rsidP="009D2549">
      <w:pPr>
        <w:jc w:val="right"/>
        <w:rPr>
          <w:szCs w:val="24"/>
        </w:rPr>
      </w:pPr>
      <w:r w:rsidRPr="008252AC">
        <w:rPr>
          <w:szCs w:val="24"/>
        </w:rPr>
        <w:t xml:space="preserve">/ </w:t>
      </w:r>
      <w:r w:rsidR="00455AE6">
        <w:rPr>
          <w:szCs w:val="24"/>
        </w:rPr>
        <w:t>Bjørgfríð Ludvig</w:t>
      </w:r>
    </w:p>
    <w:p w14:paraId="785F71B6" w14:textId="77777777" w:rsidR="009D2549" w:rsidRPr="008252AC" w:rsidRDefault="009D2549" w:rsidP="009D2549">
      <w:pPr>
        <w:jc w:val="right"/>
        <w:rPr>
          <w:szCs w:val="24"/>
        </w:rPr>
      </w:pPr>
    </w:p>
    <w:p w14:paraId="009A42C4" w14:textId="77777777" w:rsidR="009D2549" w:rsidRPr="008252AC" w:rsidRDefault="009D2549" w:rsidP="009D2549">
      <w:pPr>
        <w:rPr>
          <w:szCs w:val="24"/>
        </w:rPr>
      </w:pPr>
    </w:p>
    <w:p w14:paraId="38FFFF31" w14:textId="77777777" w:rsidR="009D2549" w:rsidRPr="008252AC" w:rsidRDefault="009D2549" w:rsidP="009D2549">
      <w:pPr>
        <w:rPr>
          <w:b/>
          <w:szCs w:val="24"/>
        </w:rPr>
      </w:pPr>
      <w:r w:rsidRPr="008252AC">
        <w:rPr>
          <w:b/>
          <w:szCs w:val="24"/>
        </w:rPr>
        <w:t>Yvirlit yvir fylgiskjøl:</w:t>
      </w:r>
    </w:p>
    <w:p w14:paraId="4FEDD829" w14:textId="77777777" w:rsidR="009D2549" w:rsidRPr="008252AC" w:rsidRDefault="009D2549" w:rsidP="009D2549">
      <w:pPr>
        <w:rPr>
          <w:szCs w:val="24"/>
        </w:rPr>
      </w:pPr>
      <w:r w:rsidRPr="008252AC">
        <w:rPr>
          <w:szCs w:val="24"/>
        </w:rPr>
        <w:t>Fylgiskjal 1: Javntekstur</w:t>
      </w:r>
    </w:p>
    <w:p w14:paraId="728A8EA2" w14:textId="77777777" w:rsidR="009D2549" w:rsidRPr="008252AC" w:rsidRDefault="009D2549" w:rsidP="009D2549">
      <w:pPr>
        <w:rPr>
          <w:szCs w:val="24"/>
        </w:rPr>
      </w:pPr>
    </w:p>
    <w:p w14:paraId="488ED2B7" w14:textId="77777777" w:rsidR="009D2549" w:rsidRPr="008252AC" w:rsidRDefault="009D2549" w:rsidP="009D2549"/>
    <w:p w14:paraId="75EBFDA4" w14:textId="77777777" w:rsidR="009D2549" w:rsidRPr="008252AC" w:rsidRDefault="009D2549" w:rsidP="00DD5760">
      <w:pPr>
        <w:jc w:val="both"/>
        <w:rPr>
          <w:b/>
          <w:szCs w:val="24"/>
        </w:rPr>
      </w:pPr>
    </w:p>
    <w:p w14:paraId="1F84CD18" w14:textId="77777777" w:rsidR="009D2549" w:rsidRPr="008252AC" w:rsidRDefault="009D2549" w:rsidP="00DD5760">
      <w:pPr>
        <w:jc w:val="both"/>
        <w:rPr>
          <w:b/>
          <w:szCs w:val="24"/>
        </w:rPr>
      </w:pPr>
    </w:p>
    <w:p w14:paraId="1B69C3DF" w14:textId="77777777" w:rsidR="009D2549" w:rsidRPr="008252AC" w:rsidRDefault="009D2549" w:rsidP="00DD5760">
      <w:pPr>
        <w:jc w:val="both"/>
        <w:rPr>
          <w:b/>
          <w:szCs w:val="24"/>
        </w:rPr>
      </w:pPr>
    </w:p>
    <w:p w14:paraId="6AE852FE" w14:textId="77777777" w:rsidR="009D2549" w:rsidRPr="008252AC" w:rsidRDefault="009D2549" w:rsidP="00DD5760">
      <w:pPr>
        <w:jc w:val="both"/>
        <w:rPr>
          <w:b/>
          <w:szCs w:val="24"/>
        </w:rPr>
      </w:pPr>
    </w:p>
    <w:p w14:paraId="6EC928FD" w14:textId="0836F39A" w:rsidR="00081C11" w:rsidRPr="008252AC" w:rsidRDefault="00081C11" w:rsidP="009D2549">
      <w:pPr>
        <w:jc w:val="both"/>
        <w:rPr>
          <w:szCs w:val="24"/>
        </w:rPr>
      </w:pPr>
    </w:p>
    <w:sectPr w:rsidR="00081C11" w:rsidRPr="008252AC"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4818" w14:textId="77777777" w:rsidR="00BA011A" w:rsidRDefault="00BA011A">
      <w:r>
        <w:separator/>
      </w:r>
    </w:p>
  </w:endnote>
  <w:endnote w:type="continuationSeparator" w:id="0">
    <w:p w14:paraId="07CE69AA" w14:textId="77777777" w:rsidR="00BA011A" w:rsidRDefault="00BA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CD08" w14:textId="77777777" w:rsidR="00532AF3" w:rsidRDefault="00532AF3">
    <w:pPr>
      <w:pStyle w:val="Sidefod"/>
      <w:jc w:val="center"/>
    </w:pPr>
    <w:r w:rsidRPr="00BD0332">
      <w:rPr>
        <w:bCs/>
        <w:szCs w:val="24"/>
      </w:rPr>
      <w:fldChar w:fldCharType="begin"/>
    </w:r>
    <w:r w:rsidRPr="00BD0332">
      <w:rPr>
        <w:bCs/>
      </w:rPr>
      <w:instrText>PAGE</w:instrText>
    </w:r>
    <w:r w:rsidRPr="00BD0332">
      <w:rPr>
        <w:bCs/>
        <w:szCs w:val="24"/>
      </w:rPr>
      <w:fldChar w:fldCharType="separate"/>
    </w:r>
    <w:r w:rsidR="003E1F5D">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3E1F5D">
      <w:rPr>
        <w:bCs/>
        <w:noProof/>
      </w:rPr>
      <w:t>10</w:t>
    </w:r>
    <w:r w:rsidRPr="00BD0332">
      <w:rPr>
        <w:bCs/>
        <w:szCs w:val="24"/>
      </w:rPr>
      <w:fldChar w:fldCharType="end"/>
    </w:r>
  </w:p>
  <w:p w14:paraId="6132A643"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3F9" w14:textId="77777777" w:rsidR="00BA011A" w:rsidRDefault="00BA011A">
      <w:r>
        <w:separator/>
      </w:r>
    </w:p>
  </w:footnote>
  <w:footnote w:type="continuationSeparator" w:id="0">
    <w:p w14:paraId="1FF183C6" w14:textId="77777777" w:rsidR="00BA011A" w:rsidRDefault="00BA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8FF9" w14:textId="77777777" w:rsidR="00532AF3" w:rsidRPr="00DA32B2" w:rsidRDefault="00532AF3">
    <w:pPr>
      <w:pStyle w:val="Sidehoved"/>
      <w:rPr>
        <w:szCs w:val="24"/>
      </w:rPr>
    </w:pPr>
  </w:p>
  <w:p w14:paraId="39EE0877" w14:textId="77777777" w:rsidR="00532AF3" w:rsidRPr="00DA32B2" w:rsidRDefault="00532AF3">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ABF1" w14:textId="77777777" w:rsidR="00532AF3" w:rsidRPr="00DA32B2" w:rsidRDefault="00532AF3" w:rsidP="00035C9D">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B25D4"/>
    <w:multiLevelType w:val="hybridMultilevel"/>
    <w:tmpl w:val="DDF8F466"/>
    <w:lvl w:ilvl="0" w:tplc="4BAC5B4A">
      <w:start w:val="1"/>
      <w:numFmt w:val="decimal"/>
      <w:lvlText w:val="%1."/>
      <w:lvlJc w:val="left"/>
      <w:pPr>
        <w:ind w:left="360" w:hanging="360"/>
      </w:pPr>
      <w:rPr>
        <w:b/>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16cid:durableId="157039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49"/>
    <w:rsid w:val="000017D4"/>
    <w:rsid w:val="00005BC3"/>
    <w:rsid w:val="00060150"/>
    <w:rsid w:val="00064968"/>
    <w:rsid w:val="0007614E"/>
    <w:rsid w:val="00081C11"/>
    <w:rsid w:val="0008533D"/>
    <w:rsid w:val="000B1057"/>
    <w:rsid w:val="000B3772"/>
    <w:rsid w:val="000D0798"/>
    <w:rsid w:val="000D2D57"/>
    <w:rsid w:val="00114E26"/>
    <w:rsid w:val="0016369D"/>
    <w:rsid w:val="001662E4"/>
    <w:rsid w:val="001B1AFF"/>
    <w:rsid w:val="001B4EC8"/>
    <w:rsid w:val="001B6E1B"/>
    <w:rsid w:val="002173D7"/>
    <w:rsid w:val="00222196"/>
    <w:rsid w:val="002711BF"/>
    <w:rsid w:val="002760BE"/>
    <w:rsid w:val="002D0243"/>
    <w:rsid w:val="00365113"/>
    <w:rsid w:val="00377697"/>
    <w:rsid w:val="00382BD3"/>
    <w:rsid w:val="00387FE7"/>
    <w:rsid w:val="003A14A9"/>
    <w:rsid w:val="003E1F5D"/>
    <w:rsid w:val="0043676C"/>
    <w:rsid w:val="00445116"/>
    <w:rsid w:val="00446403"/>
    <w:rsid w:val="00455AE6"/>
    <w:rsid w:val="0046128B"/>
    <w:rsid w:val="00500F83"/>
    <w:rsid w:val="005251F6"/>
    <w:rsid w:val="00532AF3"/>
    <w:rsid w:val="005467A5"/>
    <w:rsid w:val="00553958"/>
    <w:rsid w:val="0059631C"/>
    <w:rsid w:val="005A2DDF"/>
    <w:rsid w:val="006472E0"/>
    <w:rsid w:val="00666543"/>
    <w:rsid w:val="006834D3"/>
    <w:rsid w:val="006A5FB8"/>
    <w:rsid w:val="006D2D3E"/>
    <w:rsid w:val="00701073"/>
    <w:rsid w:val="0072099C"/>
    <w:rsid w:val="00763F83"/>
    <w:rsid w:val="00777FE3"/>
    <w:rsid w:val="007817E4"/>
    <w:rsid w:val="00783630"/>
    <w:rsid w:val="007C759C"/>
    <w:rsid w:val="007D317A"/>
    <w:rsid w:val="007E44AC"/>
    <w:rsid w:val="007F7FC1"/>
    <w:rsid w:val="00813582"/>
    <w:rsid w:val="008252AC"/>
    <w:rsid w:val="008309FA"/>
    <w:rsid w:val="008942D8"/>
    <w:rsid w:val="008F1E41"/>
    <w:rsid w:val="00914C13"/>
    <w:rsid w:val="009164D0"/>
    <w:rsid w:val="00953772"/>
    <w:rsid w:val="00987A13"/>
    <w:rsid w:val="009D2549"/>
    <w:rsid w:val="00A21E7E"/>
    <w:rsid w:val="00A61AB8"/>
    <w:rsid w:val="00A9777A"/>
    <w:rsid w:val="00AF589B"/>
    <w:rsid w:val="00B23045"/>
    <w:rsid w:val="00B40A77"/>
    <w:rsid w:val="00B75E5F"/>
    <w:rsid w:val="00BA011A"/>
    <w:rsid w:val="00BA371A"/>
    <w:rsid w:val="00BC1A7D"/>
    <w:rsid w:val="00BD14BD"/>
    <w:rsid w:val="00BF6760"/>
    <w:rsid w:val="00C05B30"/>
    <w:rsid w:val="00C3400B"/>
    <w:rsid w:val="00C85A26"/>
    <w:rsid w:val="00CA0227"/>
    <w:rsid w:val="00CE3B24"/>
    <w:rsid w:val="00D33FA1"/>
    <w:rsid w:val="00D71300"/>
    <w:rsid w:val="00D91803"/>
    <w:rsid w:val="00DD5760"/>
    <w:rsid w:val="00DF6FD2"/>
    <w:rsid w:val="00DF72BC"/>
    <w:rsid w:val="00E05BE1"/>
    <w:rsid w:val="00E22544"/>
    <w:rsid w:val="00E2702A"/>
    <w:rsid w:val="00E36F2E"/>
    <w:rsid w:val="00E94322"/>
    <w:rsid w:val="00E94532"/>
    <w:rsid w:val="00EC0026"/>
    <w:rsid w:val="00EF42A3"/>
    <w:rsid w:val="00F04E55"/>
    <w:rsid w:val="00F10C8D"/>
    <w:rsid w:val="00F25A95"/>
    <w:rsid w:val="00F400AB"/>
    <w:rsid w:val="00FE14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CC70E"/>
  <w14:defaultImageDpi w14:val="330"/>
  <w15:chartTrackingRefBased/>
  <w15:docId w15:val="{18DCB16B-D131-4585-B542-EDDA0957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Korrektur">
    <w:name w:val="Revision"/>
    <w:hidden/>
    <w:uiPriority w:val="99"/>
    <w:semiHidden/>
    <w:rsid w:val="00B23045"/>
  </w:style>
  <w:style w:type="character" w:styleId="Kommentarhenvisning">
    <w:name w:val="annotation reference"/>
    <w:basedOn w:val="Standardskrifttypeiafsnit"/>
    <w:uiPriority w:val="99"/>
    <w:semiHidden/>
    <w:unhideWhenUsed/>
    <w:rsid w:val="0008533D"/>
    <w:rPr>
      <w:sz w:val="16"/>
      <w:szCs w:val="16"/>
    </w:rPr>
  </w:style>
  <w:style w:type="paragraph" w:styleId="Kommentartekst">
    <w:name w:val="annotation text"/>
    <w:basedOn w:val="Normal"/>
    <w:link w:val="KommentartekstTegn"/>
    <w:uiPriority w:val="99"/>
    <w:unhideWhenUsed/>
    <w:rsid w:val="0008533D"/>
    <w:rPr>
      <w:sz w:val="20"/>
      <w:szCs w:val="20"/>
    </w:rPr>
  </w:style>
  <w:style w:type="character" w:customStyle="1" w:styleId="KommentartekstTegn">
    <w:name w:val="Kommentartekst Tegn"/>
    <w:basedOn w:val="Standardskrifttypeiafsnit"/>
    <w:link w:val="Kommentartekst"/>
    <w:uiPriority w:val="99"/>
    <w:rsid w:val="0008533D"/>
    <w:rPr>
      <w:sz w:val="20"/>
      <w:szCs w:val="20"/>
    </w:rPr>
  </w:style>
  <w:style w:type="paragraph" w:styleId="Kommentaremne">
    <w:name w:val="annotation subject"/>
    <w:basedOn w:val="Kommentartekst"/>
    <w:next w:val="Kommentartekst"/>
    <w:link w:val="KommentaremneTegn"/>
    <w:uiPriority w:val="99"/>
    <w:semiHidden/>
    <w:unhideWhenUsed/>
    <w:rsid w:val="0008533D"/>
    <w:rPr>
      <w:b/>
      <w:bCs/>
    </w:rPr>
  </w:style>
  <w:style w:type="character" w:customStyle="1" w:styleId="KommentaremneTegn">
    <w:name w:val="Kommentaremne Tegn"/>
    <w:basedOn w:val="KommentartekstTegn"/>
    <w:link w:val="Kommentaremne"/>
    <w:uiPriority w:val="99"/>
    <w:semiHidden/>
    <w:rsid w:val="000853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748">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31281\Downloads\uppskot-til-l&#248;gtingsl&#243;g%20(4).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ACE6-756D-40C4-9D05-87181E6A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uppskot-til-løgtingslóg (4)</Template>
  <TotalTime>0</TotalTime>
  <Pages>9</Pages>
  <Words>2390</Words>
  <Characters>14585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Guðrun Maria Mortensen</dc:creator>
  <cp:keywords>5. útgáva - desember 2020</cp:keywords>
  <dc:description>Uppskot til løgtingslóg - 5. útgáva - januar 2021</dc:description>
  <cp:lastModifiedBy>Jórun Danielsen</cp:lastModifiedBy>
  <cp:revision>2</cp:revision>
  <dcterms:created xsi:type="dcterms:W3CDTF">2024-01-03T15:37:00Z</dcterms:created>
  <dcterms:modified xsi:type="dcterms:W3CDTF">2024-01-03T15:37:00Z</dcterms:modified>
</cp:coreProperties>
</file>