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5881" w14:textId="7ED45B1B" w:rsidR="00053D77" w:rsidRPr="00771B25" w:rsidRDefault="001B5E54" w:rsidP="00882164">
      <w:pPr>
        <w:spacing w:after="0"/>
        <w:jc w:val="center"/>
        <w:rPr>
          <w:b/>
          <w:sz w:val="32"/>
          <w:szCs w:val="32"/>
        </w:rPr>
      </w:pPr>
      <w:r w:rsidRPr="00771B25">
        <w:rPr>
          <w:b/>
          <w:noProof/>
          <w:sz w:val="32"/>
          <w:szCs w:val="32"/>
          <w:lang w:eastAsia="fo-FO"/>
        </w:rPr>
        <w:drawing>
          <wp:anchor distT="0" distB="0" distL="114300" distR="114300" simplePos="0" relativeHeight="251659264" behindDoc="0" locked="0" layoutInCell="1" allowOverlap="1" wp14:anchorId="55A7FD1E" wp14:editId="28A64629">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11">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9B5EDE">
        <w:rPr>
          <w:b/>
          <w:sz w:val="32"/>
          <w:szCs w:val="32"/>
        </w:rPr>
        <w:t xml:space="preserve">Uttanríkis- og </w:t>
      </w:r>
      <w:proofErr w:type="spellStart"/>
      <w:r w:rsidR="009B5EDE">
        <w:rPr>
          <w:b/>
          <w:sz w:val="32"/>
          <w:szCs w:val="32"/>
        </w:rPr>
        <w:t>vinnumálaráðið</w:t>
      </w:r>
      <w:proofErr w:type="spellEnd"/>
    </w:p>
    <w:p w14:paraId="45563E4E" w14:textId="77777777" w:rsidR="00464E42" w:rsidRDefault="00464E42" w:rsidP="003A6690">
      <w:pPr>
        <w:spacing w:after="0"/>
        <w:rPr>
          <w:rStyle w:val="TypografiFed"/>
        </w:rPr>
      </w:pPr>
    </w:p>
    <w:p w14:paraId="18A1107A" w14:textId="77777777" w:rsidR="00882164" w:rsidRDefault="00882164" w:rsidP="003A6690">
      <w:pPr>
        <w:spacing w:after="0"/>
        <w:rPr>
          <w:rStyle w:val="TypografiFed"/>
        </w:rPr>
      </w:pPr>
    </w:p>
    <w:p w14:paraId="7601DF80" w14:textId="77777777" w:rsidR="006D3E3B" w:rsidRPr="00771B25" w:rsidRDefault="006D3E3B" w:rsidP="003A6690">
      <w:pPr>
        <w:spacing w:after="0"/>
        <w:rPr>
          <w:rStyle w:val="TypografiFed"/>
        </w:rPr>
      </w:pP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14:paraId="77FADBC8" w14:textId="77777777" w:rsidTr="00F86F03">
        <w:trPr>
          <w:jc w:val="right"/>
        </w:trPr>
        <w:tc>
          <w:tcPr>
            <w:tcW w:w="1559" w:type="dxa"/>
          </w:tcPr>
          <w:p w14:paraId="40E820C5" w14:textId="77777777" w:rsidR="00464E42" w:rsidRPr="00771B25" w:rsidRDefault="00464E42" w:rsidP="00464E42">
            <w:pPr>
              <w:spacing w:line="276" w:lineRule="auto"/>
              <w:rPr>
                <w:rFonts w:eastAsia="Calibri"/>
              </w:rPr>
            </w:pPr>
            <w:r w:rsidRPr="00771B25">
              <w:rPr>
                <w:rFonts w:eastAsia="Calibri"/>
              </w:rPr>
              <w:t>Dagfesting:</w:t>
            </w:r>
          </w:p>
        </w:tc>
        <w:tc>
          <w:tcPr>
            <w:tcW w:w="2222" w:type="dxa"/>
          </w:tcPr>
          <w:p w14:paraId="243DF55E" w14:textId="320D2903" w:rsidR="00464E42" w:rsidRPr="00771B25" w:rsidRDefault="00845ADF" w:rsidP="00464E42">
            <w:pPr>
              <w:tabs>
                <w:tab w:val="center" w:pos="4513"/>
                <w:tab w:val="right" w:pos="9026"/>
              </w:tabs>
              <w:rPr>
                <w:rFonts w:eastAsia="Calibri"/>
              </w:rPr>
            </w:pPr>
            <w:r>
              <w:rPr>
                <w:rFonts w:eastAsia="Calibri"/>
              </w:rPr>
              <w:t>15. sept. 2023</w:t>
            </w:r>
            <w:r w:rsidR="00F31F81">
              <w:rPr>
                <w:rFonts w:eastAsia="Calibri"/>
              </w:rPr>
              <w:t xml:space="preserve"> </w:t>
            </w:r>
          </w:p>
        </w:tc>
      </w:tr>
      <w:tr w:rsidR="00464E42" w:rsidRPr="00771B25" w14:paraId="1186CF1B" w14:textId="77777777" w:rsidTr="00F86F03">
        <w:trPr>
          <w:jc w:val="right"/>
        </w:trPr>
        <w:tc>
          <w:tcPr>
            <w:tcW w:w="1559" w:type="dxa"/>
          </w:tcPr>
          <w:p w14:paraId="6DCE702E" w14:textId="77777777" w:rsidR="00464E42" w:rsidRPr="00771B25" w:rsidRDefault="00464E42" w:rsidP="00464E42">
            <w:pPr>
              <w:spacing w:line="276" w:lineRule="auto"/>
              <w:rPr>
                <w:rFonts w:eastAsia="Calibri"/>
              </w:rPr>
            </w:pPr>
            <w:r w:rsidRPr="00771B25">
              <w:rPr>
                <w:rFonts w:eastAsia="Calibri"/>
              </w:rPr>
              <w:t>Mál nr</w:t>
            </w:r>
            <w:r w:rsidR="00380999" w:rsidRPr="00771B25">
              <w:rPr>
                <w:rFonts w:eastAsia="Calibri"/>
              </w:rPr>
              <w:t>.</w:t>
            </w:r>
            <w:r w:rsidRPr="00771B25">
              <w:rPr>
                <w:rFonts w:eastAsia="Calibri"/>
              </w:rPr>
              <w:t>:</w:t>
            </w:r>
          </w:p>
        </w:tc>
        <w:tc>
          <w:tcPr>
            <w:tcW w:w="2222" w:type="dxa"/>
          </w:tcPr>
          <w:p w14:paraId="23B27D8A" w14:textId="550F3016" w:rsidR="00464E42" w:rsidRPr="00771B25" w:rsidRDefault="00845ADF" w:rsidP="00464E42">
            <w:pPr>
              <w:tabs>
                <w:tab w:val="center" w:pos="4513"/>
                <w:tab w:val="right" w:pos="9026"/>
              </w:tabs>
              <w:rPr>
                <w:rFonts w:eastAsia="Calibri"/>
              </w:rPr>
            </w:pPr>
            <w:r>
              <w:rPr>
                <w:rFonts w:eastAsia="Calibri"/>
              </w:rPr>
              <w:t>-</w:t>
            </w:r>
          </w:p>
        </w:tc>
      </w:tr>
      <w:tr w:rsidR="00464E42" w:rsidRPr="00771B25" w14:paraId="108FDCE4" w14:textId="77777777" w:rsidTr="00F86F03">
        <w:trPr>
          <w:jc w:val="right"/>
        </w:trPr>
        <w:tc>
          <w:tcPr>
            <w:tcW w:w="1559" w:type="dxa"/>
          </w:tcPr>
          <w:p w14:paraId="7BC40C95" w14:textId="77777777" w:rsidR="00464E42" w:rsidRPr="00771B25" w:rsidRDefault="00464E42" w:rsidP="00464E42">
            <w:pPr>
              <w:spacing w:line="276" w:lineRule="auto"/>
              <w:rPr>
                <w:rFonts w:eastAsia="Calibri"/>
              </w:rPr>
            </w:pPr>
            <w:proofErr w:type="spellStart"/>
            <w:r w:rsidRPr="00771B25">
              <w:rPr>
                <w:rFonts w:eastAsia="Calibri"/>
              </w:rPr>
              <w:t>Málsviðgjørt</w:t>
            </w:r>
            <w:proofErr w:type="spellEnd"/>
            <w:r w:rsidRPr="00771B25">
              <w:rPr>
                <w:rFonts w:eastAsia="Calibri"/>
              </w:rPr>
              <w:t>:</w:t>
            </w:r>
          </w:p>
        </w:tc>
        <w:tc>
          <w:tcPr>
            <w:tcW w:w="2222" w:type="dxa"/>
          </w:tcPr>
          <w:p w14:paraId="2B239ECD" w14:textId="75A3D129" w:rsidR="00464E42" w:rsidRPr="00771B25" w:rsidRDefault="00845ADF" w:rsidP="00464E42">
            <w:pPr>
              <w:tabs>
                <w:tab w:val="center" w:pos="4513"/>
                <w:tab w:val="right" w:pos="9026"/>
              </w:tabs>
              <w:rPr>
                <w:rFonts w:eastAsia="Calibri"/>
              </w:rPr>
            </w:pPr>
            <w:r>
              <w:rPr>
                <w:rFonts w:eastAsia="Calibri"/>
              </w:rPr>
              <w:t>SSJ/ABD</w:t>
            </w:r>
          </w:p>
        </w:tc>
      </w:tr>
    </w:tbl>
    <w:p w14:paraId="7A19D610" w14:textId="77777777" w:rsidR="00464E42" w:rsidRPr="00771B25" w:rsidRDefault="00464E42" w:rsidP="004A178F">
      <w:pPr>
        <w:spacing w:after="0"/>
      </w:pPr>
    </w:p>
    <w:p w14:paraId="4C362FB4" w14:textId="77777777" w:rsidR="00671ABB" w:rsidRDefault="00671ABB" w:rsidP="00671ABB">
      <w:pPr>
        <w:spacing w:after="0"/>
        <w:jc w:val="right"/>
        <w:rPr>
          <w:rStyle w:val="TypografiFed"/>
        </w:rPr>
      </w:pPr>
    </w:p>
    <w:p w14:paraId="55D0EB06" w14:textId="77777777" w:rsidR="00671ABB" w:rsidRDefault="00671ABB" w:rsidP="00671ABB">
      <w:pPr>
        <w:spacing w:after="0"/>
        <w:jc w:val="right"/>
        <w:rPr>
          <w:rStyle w:val="TypografiFed"/>
        </w:rPr>
      </w:pPr>
      <w:r>
        <w:rPr>
          <w:rStyle w:val="TypografiFed"/>
        </w:rPr>
        <w:t>Fylgiskjal 1</w:t>
      </w:r>
    </w:p>
    <w:p w14:paraId="4AD52ED4" w14:textId="77777777" w:rsidR="00D354E5" w:rsidRPr="00771B25" w:rsidRDefault="00D354E5" w:rsidP="00671ABB">
      <w:pPr>
        <w:spacing w:after="0"/>
        <w:jc w:val="right"/>
        <w:rPr>
          <w:rStyle w:val="TypografiFed"/>
        </w:rPr>
      </w:pPr>
    </w:p>
    <w:p w14:paraId="6F725933" w14:textId="77777777" w:rsidR="009C3E65" w:rsidRPr="00771B25" w:rsidRDefault="009C3E65" w:rsidP="004A178F">
      <w:pPr>
        <w:spacing w:after="0"/>
        <w:rPr>
          <w:rStyle w:val="TypografiFed"/>
        </w:rPr>
      </w:pPr>
    </w:p>
    <w:p w14:paraId="10D4DFBC" w14:textId="77777777" w:rsidR="00D354E5" w:rsidRPr="00771B25" w:rsidRDefault="00671ABB" w:rsidP="003A6690">
      <w:pPr>
        <w:spacing w:after="0"/>
        <w:jc w:val="center"/>
        <w:rPr>
          <w:b/>
        </w:rPr>
      </w:pPr>
      <w:proofErr w:type="spellStart"/>
      <w:r>
        <w:rPr>
          <w:b/>
        </w:rPr>
        <w:t>Javntekstur</w:t>
      </w:r>
      <w:proofErr w:type="spellEnd"/>
    </w:p>
    <w:p w14:paraId="5197D97B" w14:textId="77777777" w:rsidR="00086403" w:rsidRDefault="00086403" w:rsidP="00D354E5">
      <w:pPr>
        <w:spacing w:after="0"/>
        <w:jc w:val="center"/>
        <w:rPr>
          <w:b/>
        </w:rPr>
      </w:pPr>
    </w:p>
    <w:p w14:paraId="497F27A3" w14:textId="77777777" w:rsidR="003A6690" w:rsidRDefault="003A6690" w:rsidP="00D354E5">
      <w:pPr>
        <w:spacing w:after="0"/>
        <w:jc w:val="center"/>
      </w:pPr>
      <w:r>
        <w:t xml:space="preserve">Galdandi orðingar í løgtingslógini samanbornar við broyttu orðingarnar í </w:t>
      </w:r>
      <w:proofErr w:type="spellStart"/>
      <w:r>
        <w:t>løgtingslógaruppskotinum</w:t>
      </w:r>
      <w:proofErr w:type="spellEnd"/>
      <w:r>
        <w:t>.</w:t>
      </w:r>
    </w:p>
    <w:p w14:paraId="2E207DE5" w14:textId="77777777" w:rsidR="00D56F25" w:rsidRDefault="00D56F25" w:rsidP="00D354E5">
      <w:pPr>
        <w:spacing w:after="0"/>
        <w:jc w:val="center"/>
      </w:pPr>
    </w:p>
    <w:p w14:paraId="2F8A8053" w14:textId="77777777" w:rsidR="00D56F25" w:rsidRDefault="00D56F25" w:rsidP="00D354E5">
      <w:pPr>
        <w:spacing w:after="0"/>
        <w:jc w:val="center"/>
      </w:pPr>
    </w:p>
    <w:p w14:paraId="6F69CA97" w14:textId="77777777" w:rsidR="003A6690" w:rsidRDefault="003A6690" w:rsidP="00D354E5">
      <w:pPr>
        <w:spacing w:after="0"/>
        <w:jc w:val="center"/>
      </w:pPr>
    </w:p>
    <w:p w14:paraId="488DE5E9" w14:textId="77777777" w:rsidR="003A6690" w:rsidRDefault="003A6690" w:rsidP="00D354E5">
      <w:pPr>
        <w:spacing w:after="0"/>
        <w:jc w:val="center"/>
      </w:pPr>
    </w:p>
    <w:tbl>
      <w:tblPr>
        <w:tblStyle w:val="Tabel-Gitter"/>
        <w:tblW w:w="0" w:type="auto"/>
        <w:tblLook w:val="04A0" w:firstRow="1" w:lastRow="0" w:firstColumn="1" w:lastColumn="0" w:noHBand="0" w:noVBand="1"/>
      </w:tblPr>
      <w:tblGrid>
        <w:gridCol w:w="4508"/>
        <w:gridCol w:w="4508"/>
      </w:tblGrid>
      <w:tr w:rsidR="00784FD7" w14:paraId="2F127BF8" w14:textId="77777777" w:rsidTr="003A6690">
        <w:tc>
          <w:tcPr>
            <w:tcW w:w="4508" w:type="dxa"/>
          </w:tcPr>
          <w:p w14:paraId="60842AFB" w14:textId="54DBC83A" w:rsidR="00784FD7" w:rsidRPr="003A6690" w:rsidRDefault="00784FD7" w:rsidP="003A6690">
            <w:pPr>
              <w:rPr>
                <w:b/>
              </w:rPr>
            </w:pPr>
            <w:r w:rsidRPr="003A6690">
              <w:rPr>
                <w:b/>
              </w:rPr>
              <w:t>Galdandi orðingar</w:t>
            </w:r>
          </w:p>
        </w:tc>
        <w:tc>
          <w:tcPr>
            <w:tcW w:w="4508" w:type="dxa"/>
          </w:tcPr>
          <w:p w14:paraId="4971D558" w14:textId="26302F84" w:rsidR="00784FD7" w:rsidRPr="005636BE" w:rsidRDefault="00784FD7" w:rsidP="003A6690">
            <w:pPr>
              <w:rPr>
                <w:b/>
              </w:rPr>
            </w:pPr>
            <w:proofErr w:type="spellStart"/>
            <w:r w:rsidRPr="005636BE">
              <w:rPr>
                <w:b/>
              </w:rPr>
              <w:t>Løgtingslógaruppskotið</w:t>
            </w:r>
            <w:proofErr w:type="spellEnd"/>
          </w:p>
        </w:tc>
      </w:tr>
      <w:tr w:rsidR="003A6690" w14:paraId="464AF7CC" w14:textId="77777777" w:rsidTr="003A6690">
        <w:tc>
          <w:tcPr>
            <w:tcW w:w="4508" w:type="dxa"/>
          </w:tcPr>
          <w:p w14:paraId="06B9FA95" w14:textId="4492F55D" w:rsidR="003A6690" w:rsidRPr="003A6690" w:rsidRDefault="003A6690" w:rsidP="003A6690">
            <w:pPr>
              <w:rPr>
                <w:b/>
              </w:rPr>
            </w:pPr>
          </w:p>
        </w:tc>
        <w:tc>
          <w:tcPr>
            <w:tcW w:w="4508" w:type="dxa"/>
          </w:tcPr>
          <w:p w14:paraId="5177826E" w14:textId="77777777" w:rsidR="003A6690" w:rsidRDefault="00784FD7" w:rsidP="00334F92">
            <w:pPr>
              <w:jc w:val="center"/>
              <w:rPr>
                <w:b/>
              </w:rPr>
            </w:pPr>
            <w:r>
              <w:rPr>
                <w:b/>
              </w:rPr>
              <w:t>§ 1.</w:t>
            </w:r>
          </w:p>
          <w:p w14:paraId="70D3884E" w14:textId="22788B3A" w:rsidR="00334F92" w:rsidRDefault="00334F92" w:rsidP="00334F92">
            <w:r>
              <w:t>Í løgtingslóg nr. 73 frá 31. mai 2011 um parta- og smápartafeløg, s</w:t>
            </w:r>
            <w:r>
              <w:rPr>
                <w:shd w:val="clear" w:color="auto" w:fill="FFFFFF"/>
              </w:rPr>
              <w:t xml:space="preserve">um broytt við løgtingslóg nr. 56 frá 6. mai 2016, § 1 í løgtingslóg nr. 44 frá 26. apríl 2019, § 1 í  løgtingslóg nr. 45 frá 26. apríl 2019, § 1 í løgtingslóg nr. 57 frá 4. mai 2021 og § 11 í løgtingslóg nr. 31 frá 17, verða gjørdar hesar broytingar: </w:t>
            </w:r>
          </w:p>
          <w:p w14:paraId="27CEDEED" w14:textId="05CE2BEB" w:rsidR="00334F92" w:rsidRPr="005636BE" w:rsidRDefault="00334F92" w:rsidP="00334F92">
            <w:pPr>
              <w:jc w:val="center"/>
              <w:rPr>
                <w:b/>
              </w:rPr>
            </w:pPr>
          </w:p>
        </w:tc>
      </w:tr>
      <w:tr w:rsidR="003A6690" w14:paraId="765FCBDB" w14:textId="77777777" w:rsidTr="003A6690">
        <w:tc>
          <w:tcPr>
            <w:tcW w:w="4508" w:type="dxa"/>
          </w:tcPr>
          <w:p w14:paraId="4023D206" w14:textId="3146172F" w:rsidR="003A6690" w:rsidRPr="003A6690" w:rsidRDefault="009B5EDE" w:rsidP="009B5EDE">
            <w:r w:rsidRPr="009B5EDE">
              <w:rPr>
                <w:b/>
                <w:bCs/>
              </w:rPr>
              <w:t>§ 7 c.</w:t>
            </w:r>
            <w:r>
              <w:t xml:space="preserve"> </w:t>
            </w:r>
            <w:r>
              <w:rPr>
                <w:i/>
                <w:iCs/>
              </w:rPr>
              <w:t>Stk. 2.</w:t>
            </w:r>
            <w:r>
              <w:t xml:space="preserve"> Landsstýrismaðurin kann áseta nærri reglur um at víkja frá kravinum um undirskrift. Tað kann </w:t>
            </w:r>
            <w:proofErr w:type="spellStart"/>
            <w:r>
              <w:t>heruppií</w:t>
            </w:r>
            <w:proofErr w:type="spellEnd"/>
            <w:r>
              <w:t xml:space="preserve"> ásetast, at </w:t>
            </w:r>
            <w:proofErr w:type="spellStart"/>
            <w:r>
              <w:t>víkjast</w:t>
            </w:r>
            <w:proofErr w:type="spellEnd"/>
            <w:r>
              <w:t xml:space="preserve"> kann frá kravinum um undirskrift fyri ávís sløg av skjølum.</w:t>
            </w:r>
          </w:p>
        </w:tc>
        <w:tc>
          <w:tcPr>
            <w:tcW w:w="4508" w:type="dxa"/>
          </w:tcPr>
          <w:p w14:paraId="765C12BC" w14:textId="77777777" w:rsidR="009B5EDE" w:rsidRDefault="009B5EDE" w:rsidP="009B5EDE">
            <w:pPr>
              <w:pStyle w:val="Listeafsnit"/>
              <w:numPr>
                <w:ilvl w:val="0"/>
                <w:numId w:val="3"/>
              </w:numPr>
            </w:pPr>
            <w:r>
              <w:t>Í § 7 c, stk. 2, 2. pkt. frammanfyri “frá kravinum” verður sett “ikki”.</w:t>
            </w:r>
          </w:p>
          <w:p w14:paraId="393D0E71" w14:textId="6FD0E104" w:rsidR="003A6690" w:rsidRDefault="003A6690" w:rsidP="003A6690"/>
        </w:tc>
      </w:tr>
      <w:tr w:rsidR="003A6690" w14:paraId="7231531C" w14:textId="77777777" w:rsidTr="003A6690">
        <w:tc>
          <w:tcPr>
            <w:tcW w:w="4508" w:type="dxa"/>
          </w:tcPr>
          <w:p w14:paraId="64E7D1A9" w14:textId="53FCD3E8" w:rsidR="003A6690" w:rsidRDefault="009B5EDE" w:rsidP="009B5EDE">
            <w:r w:rsidRPr="009B5EDE">
              <w:rPr>
                <w:b/>
                <w:bCs/>
              </w:rPr>
              <w:t>§ 52.</w:t>
            </w:r>
            <w:r>
              <w:t xml:space="preserve"> </w:t>
            </w:r>
            <w:r>
              <w:rPr>
                <w:i/>
                <w:iCs/>
              </w:rPr>
              <w:t>Stk. 2.</w:t>
            </w:r>
            <w:r>
              <w:t xml:space="preserve"> Er </w:t>
            </w:r>
            <w:proofErr w:type="spellStart"/>
            <w:r>
              <w:t>kapitaleigarin</w:t>
            </w:r>
            <w:proofErr w:type="spellEnd"/>
            <w:r>
              <w:t xml:space="preserve"> ella veðhavarin útlendskur ríkisborgari ella ein útlendskur juridiskur persónur, sbr. § 53, stk. 1, skal onnur </w:t>
            </w:r>
            <w:proofErr w:type="spellStart"/>
            <w:r>
              <w:t>skjalváttan</w:t>
            </w:r>
            <w:proofErr w:type="spellEnd"/>
            <w:r>
              <w:t xml:space="preserve"> leggjast við, sum tryggjar </w:t>
            </w:r>
            <w:proofErr w:type="spellStart"/>
            <w:r>
              <w:t>eintýddað</w:t>
            </w:r>
            <w:proofErr w:type="spellEnd"/>
            <w:r>
              <w:t xml:space="preserve"> eyðmerking av </w:t>
            </w:r>
            <w:proofErr w:type="spellStart"/>
            <w:r>
              <w:t>kapitaleigaranum</w:t>
            </w:r>
            <w:proofErr w:type="spellEnd"/>
            <w:r>
              <w:t xml:space="preserve"> ella </w:t>
            </w:r>
            <w:proofErr w:type="spellStart"/>
            <w:r>
              <w:t>veðhavaranum</w:t>
            </w:r>
            <w:proofErr w:type="spellEnd"/>
            <w:r>
              <w:t>.</w:t>
            </w:r>
          </w:p>
        </w:tc>
        <w:tc>
          <w:tcPr>
            <w:tcW w:w="4508" w:type="dxa"/>
          </w:tcPr>
          <w:p w14:paraId="7C100904" w14:textId="77777777" w:rsidR="009B5EDE" w:rsidRDefault="009B5EDE" w:rsidP="009B5EDE">
            <w:pPr>
              <w:pStyle w:val="Listeafsnit"/>
              <w:numPr>
                <w:ilvl w:val="0"/>
                <w:numId w:val="3"/>
              </w:numPr>
            </w:pPr>
            <w:r>
              <w:t>Í § 52, stk. 2 verður “</w:t>
            </w:r>
            <w:proofErr w:type="spellStart"/>
            <w:r>
              <w:t>eintýddað</w:t>
            </w:r>
            <w:proofErr w:type="spellEnd"/>
            <w:r>
              <w:t xml:space="preserve"> eyðmerking” rættað til “</w:t>
            </w:r>
            <w:proofErr w:type="spellStart"/>
            <w:r>
              <w:t>eintýdda</w:t>
            </w:r>
            <w:proofErr w:type="spellEnd"/>
            <w:r>
              <w:t xml:space="preserve"> eyðmerking.”</w:t>
            </w:r>
          </w:p>
          <w:p w14:paraId="2C63228D" w14:textId="7707583C" w:rsidR="003A6690" w:rsidRDefault="003A6690" w:rsidP="003A6690"/>
        </w:tc>
      </w:tr>
      <w:tr w:rsidR="003A6690" w14:paraId="317E5151" w14:textId="77777777" w:rsidTr="003A6690">
        <w:tc>
          <w:tcPr>
            <w:tcW w:w="4508" w:type="dxa"/>
          </w:tcPr>
          <w:p w14:paraId="7E266547" w14:textId="6DD26DDA" w:rsidR="003A6690" w:rsidRDefault="009B5EDE" w:rsidP="009B5EDE">
            <w:r w:rsidRPr="000768C0">
              <w:rPr>
                <w:b/>
                <w:bCs/>
              </w:rPr>
              <w:t xml:space="preserve">§ </w:t>
            </w:r>
            <w:r w:rsidR="000768C0" w:rsidRPr="000768C0">
              <w:rPr>
                <w:b/>
                <w:bCs/>
              </w:rPr>
              <w:t>55.</w:t>
            </w:r>
            <w:r w:rsidR="000768C0">
              <w:t xml:space="preserve"> </w:t>
            </w:r>
            <w:r>
              <w:rPr>
                <w:i/>
                <w:iCs/>
              </w:rPr>
              <w:t>Stk. 2.</w:t>
            </w:r>
            <w:r>
              <w:t xml:space="preserve"> Sum havandi ræðið á eftir stk. 1 verða roknaðir:</w:t>
            </w:r>
          </w:p>
        </w:tc>
        <w:tc>
          <w:tcPr>
            <w:tcW w:w="4508" w:type="dxa"/>
          </w:tcPr>
          <w:p w14:paraId="7CAE165D" w14:textId="77777777" w:rsidR="009B5EDE" w:rsidRDefault="009B5EDE" w:rsidP="009B5EDE">
            <w:pPr>
              <w:pStyle w:val="Listeafsnit"/>
              <w:numPr>
                <w:ilvl w:val="0"/>
                <w:numId w:val="3"/>
              </w:numPr>
            </w:pPr>
            <w:r>
              <w:t>Í § 55, stk. 2 verður “verða roknaðir:” broytt til “verða harumframt roknaðir:”</w:t>
            </w:r>
          </w:p>
          <w:p w14:paraId="22083FA5" w14:textId="727B15FC" w:rsidR="003A6690" w:rsidRDefault="003A6690" w:rsidP="003A6690"/>
        </w:tc>
      </w:tr>
      <w:tr w:rsidR="003A6690" w14:paraId="75391B7A" w14:textId="77777777" w:rsidTr="003A6690">
        <w:tc>
          <w:tcPr>
            <w:tcW w:w="4508" w:type="dxa"/>
          </w:tcPr>
          <w:p w14:paraId="3582A693" w14:textId="192AAC04" w:rsidR="003A6690" w:rsidRDefault="000768C0" w:rsidP="009B5EDE">
            <w:r>
              <w:rPr>
                <w:b/>
                <w:bCs/>
              </w:rPr>
              <w:lastRenderedPageBreak/>
              <w:t>§ 58.</w:t>
            </w:r>
            <w:r>
              <w:t xml:space="preserve"> Felagið skal skjótast til ber, eftir at felagið hevur fingið fráboðan eftir § 55, stk. 1, skráseta upplýsingarnar í </w:t>
            </w:r>
            <w:proofErr w:type="spellStart"/>
            <w:r>
              <w:t>kt-skipan</w:t>
            </w:r>
            <w:proofErr w:type="spellEnd"/>
            <w:r>
              <w:t xml:space="preserve"> Skráseting Føroya.</w:t>
            </w:r>
          </w:p>
        </w:tc>
        <w:tc>
          <w:tcPr>
            <w:tcW w:w="4508" w:type="dxa"/>
          </w:tcPr>
          <w:p w14:paraId="15736A7B" w14:textId="77777777" w:rsidR="009B5EDE" w:rsidRDefault="009B5EDE" w:rsidP="009B5EDE">
            <w:pPr>
              <w:pStyle w:val="Listeafsnit"/>
              <w:numPr>
                <w:ilvl w:val="0"/>
                <w:numId w:val="3"/>
              </w:numPr>
            </w:pPr>
            <w:r>
              <w:t>§ 58, stk. 1, verður orðað soleiðis:</w:t>
            </w:r>
          </w:p>
          <w:p w14:paraId="699A29E2" w14:textId="77777777" w:rsidR="00497580" w:rsidRDefault="00497580" w:rsidP="00497580">
            <w:pPr>
              <w:pStyle w:val="Stk"/>
              <w:ind w:firstLine="0"/>
              <w:rPr>
                <w:bCs/>
              </w:rPr>
            </w:pPr>
          </w:p>
          <w:p w14:paraId="66AACC8E" w14:textId="23A770AC" w:rsidR="003A6690" w:rsidRDefault="009B5EDE" w:rsidP="00497580">
            <w:pPr>
              <w:pStyle w:val="Stk"/>
              <w:ind w:firstLine="0"/>
              <w:rPr>
                <w:bCs/>
              </w:rPr>
            </w:pPr>
            <w:r w:rsidRPr="004A17FA">
              <w:rPr>
                <w:bCs/>
              </w:rPr>
              <w:t>“§ 58.</w:t>
            </w:r>
            <w:r w:rsidRPr="007A0264">
              <w:rPr>
                <w:b/>
              </w:rPr>
              <w:t xml:space="preserve"> </w:t>
            </w:r>
            <w:r w:rsidRPr="007A0264">
              <w:rPr>
                <w:bCs/>
              </w:rPr>
              <w:t xml:space="preserve">Tá eitt </w:t>
            </w:r>
            <w:proofErr w:type="spellStart"/>
            <w:r w:rsidRPr="007A0264">
              <w:rPr>
                <w:bCs/>
              </w:rPr>
              <w:t>kapitalfelag</w:t>
            </w:r>
            <w:proofErr w:type="spellEnd"/>
            <w:r w:rsidRPr="007A0264">
              <w:rPr>
                <w:bCs/>
              </w:rPr>
              <w:t xml:space="preserve"> verður stovnað,</w:t>
            </w:r>
            <w:r w:rsidRPr="007A0264">
              <w:rPr>
                <w:b/>
              </w:rPr>
              <w:t xml:space="preserve"> </w:t>
            </w:r>
            <w:r w:rsidRPr="007A0264">
              <w:rPr>
                <w:bCs/>
              </w:rPr>
              <w:t xml:space="preserve">skulu felagsins </w:t>
            </w:r>
            <w:proofErr w:type="spellStart"/>
            <w:r>
              <w:rPr>
                <w:bCs/>
              </w:rPr>
              <w:t>kapital</w:t>
            </w:r>
            <w:r w:rsidRPr="007A0264">
              <w:rPr>
                <w:bCs/>
              </w:rPr>
              <w:t>eigarar</w:t>
            </w:r>
            <w:proofErr w:type="spellEnd"/>
            <w:r>
              <w:rPr>
                <w:bCs/>
              </w:rPr>
              <w:t xml:space="preserve">, </w:t>
            </w:r>
            <w:r>
              <w:t xml:space="preserve">sum hava ræði á týðandi </w:t>
            </w:r>
            <w:proofErr w:type="spellStart"/>
            <w:r>
              <w:t>kapitalpørtum</w:t>
            </w:r>
            <w:proofErr w:type="spellEnd"/>
            <w:r w:rsidRPr="007A0264">
              <w:t>,</w:t>
            </w:r>
            <w:r>
              <w:t xml:space="preserve"> sbrt. § 55, stk. 1,</w:t>
            </w:r>
            <w:r>
              <w:rPr>
                <w:bCs/>
              </w:rPr>
              <w:t xml:space="preserve"> </w:t>
            </w:r>
            <w:r w:rsidRPr="007A0264">
              <w:t>skrásetast í</w:t>
            </w:r>
            <w:r w:rsidRPr="007A0264">
              <w:rPr>
                <w:bCs/>
              </w:rPr>
              <w:t xml:space="preserve"> seinasta lagi samstundis við skrásetingina av felagnum, sb</w:t>
            </w:r>
            <w:r>
              <w:rPr>
                <w:bCs/>
              </w:rPr>
              <w:t>rt</w:t>
            </w:r>
            <w:r w:rsidRPr="007A0264">
              <w:rPr>
                <w:bCs/>
              </w:rPr>
              <w:t>. § 9.</w:t>
            </w:r>
            <w:r>
              <w:rPr>
                <w:bCs/>
              </w:rPr>
              <w:t xml:space="preserve"> Eru ongir </w:t>
            </w:r>
            <w:proofErr w:type="spellStart"/>
            <w:r>
              <w:rPr>
                <w:bCs/>
              </w:rPr>
              <w:t>kapitaleigarar</w:t>
            </w:r>
            <w:proofErr w:type="spellEnd"/>
            <w:r>
              <w:rPr>
                <w:bCs/>
              </w:rPr>
              <w:t xml:space="preserve">, sum hava ræði á týðandi </w:t>
            </w:r>
            <w:proofErr w:type="spellStart"/>
            <w:r>
              <w:rPr>
                <w:bCs/>
              </w:rPr>
              <w:t>kapitalpørtum</w:t>
            </w:r>
            <w:proofErr w:type="spellEnd"/>
            <w:r>
              <w:rPr>
                <w:bCs/>
              </w:rPr>
              <w:t xml:space="preserve">, skal hetta somuleiðis skrásetast í seinasta lagi samstundis við skrásetingina av felagnum.” </w:t>
            </w:r>
          </w:p>
          <w:p w14:paraId="703D281F" w14:textId="27C25E5D" w:rsidR="009B5EDE" w:rsidRPr="009B5EDE" w:rsidRDefault="009B5EDE" w:rsidP="009B5EDE">
            <w:pPr>
              <w:pStyle w:val="Stk"/>
              <w:ind w:left="643" w:firstLine="0"/>
              <w:rPr>
                <w:bCs/>
              </w:rPr>
            </w:pPr>
          </w:p>
        </w:tc>
      </w:tr>
      <w:tr w:rsidR="003A6690" w14:paraId="22761F89" w14:textId="77777777" w:rsidTr="003A6690">
        <w:tc>
          <w:tcPr>
            <w:tcW w:w="4508" w:type="dxa"/>
          </w:tcPr>
          <w:p w14:paraId="3A7F293E" w14:textId="75607EA2" w:rsidR="000768C0" w:rsidRPr="000768C0" w:rsidRDefault="000768C0" w:rsidP="000768C0">
            <w:pPr>
              <w:pStyle w:val="paragraftekst"/>
              <w:rPr>
                <w:lang w:val="fo-FO"/>
              </w:rPr>
            </w:pPr>
            <w:r w:rsidRPr="000768C0">
              <w:rPr>
                <w:b/>
                <w:bCs/>
                <w:lang w:val="fo-FO"/>
              </w:rPr>
              <w:t>§ 58 a.</w:t>
            </w:r>
            <w:r w:rsidRPr="000768C0">
              <w:rPr>
                <w:lang w:val="fo-FO"/>
              </w:rPr>
              <w:t xml:space="preserve"> Felagið skal savna upplýsingar um veruligu eigarar felagsins, undir hesum rættindi hjá teimum veruligu eigarunum. Eru eingir veruligur eigarar, ella kunnu eingir veruligir eigarar </w:t>
            </w:r>
            <w:proofErr w:type="spellStart"/>
            <w:r w:rsidRPr="000768C0">
              <w:rPr>
                <w:lang w:val="fo-FO"/>
              </w:rPr>
              <w:t>eyðmerkjast</w:t>
            </w:r>
            <w:proofErr w:type="spellEnd"/>
            <w:r w:rsidRPr="000768C0">
              <w:rPr>
                <w:lang w:val="fo-FO"/>
              </w:rPr>
              <w:t xml:space="preserve">, skulu skrásettu limirnir í stjórn felagsins, sbr. § 10, stk. 1, skrásetast í </w:t>
            </w:r>
            <w:proofErr w:type="spellStart"/>
            <w:r w:rsidRPr="000768C0">
              <w:rPr>
                <w:lang w:val="fo-FO"/>
              </w:rPr>
              <w:t>kt-skipan</w:t>
            </w:r>
            <w:proofErr w:type="spellEnd"/>
            <w:r w:rsidRPr="000768C0">
              <w:rPr>
                <w:lang w:val="fo-FO"/>
              </w:rPr>
              <w:t xml:space="preserve"> Skráseting Føroya sum veruligir eigarar.</w:t>
            </w:r>
          </w:p>
          <w:p w14:paraId="3B5E1294" w14:textId="77777777" w:rsidR="000768C0" w:rsidRPr="000768C0" w:rsidRDefault="000768C0" w:rsidP="000768C0">
            <w:pPr>
              <w:pStyle w:val="stk0"/>
              <w:rPr>
                <w:lang w:val="fo-FO"/>
              </w:rPr>
            </w:pPr>
            <w:r w:rsidRPr="000768C0">
              <w:rPr>
                <w:i/>
                <w:iCs/>
                <w:lang w:val="fo-FO"/>
              </w:rPr>
              <w:t>Stk. 2</w:t>
            </w:r>
            <w:r w:rsidRPr="000768C0">
              <w:rPr>
                <w:lang w:val="fo-FO"/>
              </w:rPr>
              <w:t xml:space="preserve">. Felagið skal skjótast gjørligt, eftir at felagið er kunnugt við, at ein persónur er blivin veruligur eigari, og eftir eina og hvørja broyting av teimum upplýsingum, sum eru skrásettar, skráseta upplýsingarnar í </w:t>
            </w:r>
            <w:proofErr w:type="spellStart"/>
            <w:r w:rsidRPr="000768C0">
              <w:rPr>
                <w:lang w:val="fo-FO"/>
              </w:rPr>
              <w:t>kt-skipan</w:t>
            </w:r>
            <w:proofErr w:type="spellEnd"/>
            <w:r w:rsidRPr="000768C0">
              <w:rPr>
                <w:lang w:val="fo-FO"/>
              </w:rPr>
              <w:t xml:space="preserve"> Skráseting Føroya. Felagið skal goyma upplýsingarnar um veruligu eigarar tess í fimm ár eftir, at veruligu eigaraviðurskiftini hildu uppat. Felagið skal harumframt goyma upplýsingar um royndir at eyðmerkja veruligar eigarar í fimm ár eftir, at royndirnar at eyðmerkja vórðu framdar.</w:t>
            </w:r>
          </w:p>
          <w:p w14:paraId="22FB968D" w14:textId="77777777" w:rsidR="000768C0" w:rsidRPr="000768C0" w:rsidRDefault="000768C0" w:rsidP="000768C0">
            <w:pPr>
              <w:pStyle w:val="stk0"/>
              <w:rPr>
                <w:lang w:val="fo-FO"/>
              </w:rPr>
            </w:pPr>
            <w:r w:rsidRPr="000768C0">
              <w:rPr>
                <w:i/>
                <w:iCs/>
                <w:lang w:val="fo-FO"/>
              </w:rPr>
              <w:t>Stk. 3.</w:t>
            </w:r>
            <w:r w:rsidRPr="000768C0">
              <w:rPr>
                <w:lang w:val="fo-FO"/>
              </w:rPr>
              <w:t xml:space="preserve"> Felagið skal eftir áheitan lata upplýsingar til Føroya Landfúta um veruligu eigarar felagsins, undir hesum royndir at eyðmerkja veruligu eigarar tess. Felagið skal harumframt eftir áheitan útflýggja nevndu upplýsingar til aðrar almennar myndugleikar, tá hesir myndugleikar meta, at upplýsingarnar eru neyðugar fyri røkt av eftirlits- ella </w:t>
            </w:r>
            <w:proofErr w:type="spellStart"/>
            <w:r w:rsidRPr="000768C0">
              <w:rPr>
                <w:lang w:val="fo-FO"/>
              </w:rPr>
              <w:t>umsjónaruppgávum</w:t>
            </w:r>
            <w:proofErr w:type="spellEnd"/>
            <w:r w:rsidRPr="000768C0">
              <w:rPr>
                <w:lang w:val="fo-FO"/>
              </w:rPr>
              <w:t xml:space="preserve"> teirra.</w:t>
            </w:r>
          </w:p>
          <w:p w14:paraId="28CB7072" w14:textId="77777777" w:rsidR="000768C0" w:rsidRPr="000768C0" w:rsidRDefault="000768C0" w:rsidP="000768C0">
            <w:pPr>
              <w:pStyle w:val="stk0"/>
              <w:rPr>
                <w:lang w:val="fo-FO"/>
              </w:rPr>
            </w:pPr>
            <w:r w:rsidRPr="000768C0">
              <w:rPr>
                <w:i/>
                <w:iCs/>
                <w:lang w:val="fo-FO"/>
              </w:rPr>
              <w:t>Stk. 4.</w:t>
            </w:r>
            <w:r w:rsidRPr="000768C0">
              <w:rPr>
                <w:lang w:val="fo-FO"/>
              </w:rPr>
              <w:t xml:space="preserve"> Stk. 1-3 verða ikki nýtt upp á feløg, hvørs </w:t>
            </w:r>
            <w:proofErr w:type="spellStart"/>
            <w:r w:rsidRPr="000768C0">
              <w:rPr>
                <w:lang w:val="fo-FO"/>
              </w:rPr>
              <w:t>eigarapartar</w:t>
            </w:r>
            <w:proofErr w:type="spellEnd"/>
            <w:r w:rsidRPr="000768C0">
              <w:rPr>
                <w:lang w:val="fo-FO"/>
              </w:rPr>
              <w:t xml:space="preserve"> verða </w:t>
            </w:r>
            <w:proofErr w:type="spellStart"/>
            <w:r w:rsidRPr="000768C0">
              <w:rPr>
                <w:lang w:val="fo-FO"/>
              </w:rPr>
              <w:t>handlaðir</w:t>
            </w:r>
            <w:proofErr w:type="spellEnd"/>
            <w:r w:rsidRPr="000768C0">
              <w:rPr>
                <w:lang w:val="fo-FO"/>
              </w:rPr>
              <w:t xml:space="preserve"> á einum </w:t>
            </w:r>
            <w:proofErr w:type="spellStart"/>
            <w:r w:rsidRPr="000768C0">
              <w:rPr>
                <w:lang w:val="fo-FO"/>
              </w:rPr>
              <w:t>reguleraðum</w:t>
            </w:r>
            <w:proofErr w:type="spellEnd"/>
            <w:r w:rsidRPr="000768C0">
              <w:rPr>
                <w:lang w:val="fo-FO"/>
              </w:rPr>
              <w:t xml:space="preserve"> marknaði ella samsvarandi marknaði, sum er álagdur upplýsingarskyldu </w:t>
            </w:r>
            <w:r w:rsidRPr="000768C0">
              <w:rPr>
                <w:lang w:val="fo-FO"/>
              </w:rPr>
              <w:lastRenderedPageBreak/>
              <w:t xml:space="preserve">samsvarandi </w:t>
            </w:r>
            <w:proofErr w:type="spellStart"/>
            <w:r w:rsidRPr="000768C0">
              <w:rPr>
                <w:lang w:val="fo-FO"/>
              </w:rPr>
              <w:t>ES-rættinum</w:t>
            </w:r>
            <w:proofErr w:type="spellEnd"/>
            <w:r w:rsidRPr="000768C0">
              <w:rPr>
                <w:lang w:val="fo-FO"/>
              </w:rPr>
              <w:t xml:space="preserve"> ella samsvarandi altjóða standardum. </w:t>
            </w:r>
          </w:p>
          <w:p w14:paraId="1FA59B5C" w14:textId="77777777" w:rsidR="000768C0" w:rsidRPr="000768C0" w:rsidRDefault="000768C0" w:rsidP="000768C0">
            <w:pPr>
              <w:pStyle w:val="stk0"/>
              <w:rPr>
                <w:lang w:val="fo-FO"/>
              </w:rPr>
            </w:pPr>
            <w:r w:rsidRPr="000768C0">
              <w:rPr>
                <w:i/>
                <w:iCs/>
                <w:lang w:val="fo-FO"/>
              </w:rPr>
              <w:t>Stk. 5.</w:t>
            </w:r>
            <w:r w:rsidRPr="000768C0">
              <w:rPr>
                <w:lang w:val="fo-FO"/>
              </w:rPr>
              <w:t xml:space="preserve"> Landsstýrismaðurin ásetur nærri reglur um skráseting og kunngering av upplýsingum eftir stk. 1 og 2 í </w:t>
            </w:r>
            <w:proofErr w:type="spellStart"/>
            <w:r w:rsidRPr="000768C0">
              <w:rPr>
                <w:lang w:val="fo-FO"/>
              </w:rPr>
              <w:t>kt-skipan</w:t>
            </w:r>
            <w:proofErr w:type="spellEnd"/>
            <w:r w:rsidRPr="000768C0">
              <w:rPr>
                <w:lang w:val="fo-FO"/>
              </w:rPr>
              <w:t xml:space="preserve"> Skráseting Føroya, undir hesum hvørjar upplýsingar skulu skrásetast í </w:t>
            </w:r>
            <w:proofErr w:type="spellStart"/>
            <w:r w:rsidRPr="000768C0">
              <w:rPr>
                <w:lang w:val="fo-FO"/>
              </w:rPr>
              <w:t>kt-skipanini</w:t>
            </w:r>
            <w:proofErr w:type="spellEnd"/>
            <w:r w:rsidRPr="000768C0">
              <w:rPr>
                <w:lang w:val="fo-FO"/>
              </w:rPr>
              <w:t>.</w:t>
            </w:r>
          </w:p>
          <w:p w14:paraId="7312B47E" w14:textId="77777777" w:rsidR="003A6690" w:rsidRDefault="003A6690" w:rsidP="009B5EDE"/>
        </w:tc>
        <w:tc>
          <w:tcPr>
            <w:tcW w:w="4508" w:type="dxa"/>
          </w:tcPr>
          <w:p w14:paraId="5F9FBF72" w14:textId="77777777" w:rsidR="009B5EDE" w:rsidRDefault="009B5EDE" w:rsidP="009B5EDE">
            <w:pPr>
              <w:pStyle w:val="Listeafsnit"/>
              <w:numPr>
                <w:ilvl w:val="0"/>
                <w:numId w:val="3"/>
              </w:numPr>
            </w:pPr>
            <w:r>
              <w:lastRenderedPageBreak/>
              <w:t xml:space="preserve">§ 58 a, verður orðað soleiðis: </w:t>
            </w:r>
          </w:p>
          <w:p w14:paraId="0E80648A" w14:textId="77777777" w:rsidR="009B5EDE" w:rsidRDefault="009B5EDE" w:rsidP="009B5EDE">
            <w:pPr>
              <w:pStyle w:val="Listeafsnit"/>
              <w:ind w:left="643"/>
            </w:pPr>
          </w:p>
          <w:p w14:paraId="6E9DB9BA" w14:textId="10DF075D" w:rsidR="009B5EDE" w:rsidRDefault="009B5EDE" w:rsidP="00497580">
            <w:r>
              <w:t xml:space="preserve">“§ 58 a. </w:t>
            </w:r>
            <w:r w:rsidRPr="00DA2A9F">
              <w:t xml:space="preserve">Felagið skal </w:t>
            </w:r>
            <w:r>
              <w:t>fáa til vega</w:t>
            </w:r>
            <w:r w:rsidRPr="00DA2A9F">
              <w:t xml:space="preserve"> upplýsingar um veruligu eigarar felagsins, </w:t>
            </w:r>
            <w:proofErr w:type="spellStart"/>
            <w:r w:rsidR="00DB2945">
              <w:t>heruppií</w:t>
            </w:r>
            <w:proofErr w:type="spellEnd"/>
            <w:r w:rsidRPr="00DA2A9F">
              <w:t xml:space="preserve"> rættindi hjá teimum veruligu eigarunum</w:t>
            </w:r>
            <w:r>
              <w:t>.</w:t>
            </w:r>
          </w:p>
          <w:p w14:paraId="33EB0C3B" w14:textId="77777777" w:rsidR="009B5EDE" w:rsidRDefault="009B5EDE" w:rsidP="009B5EDE">
            <w:pPr>
              <w:pStyle w:val="Listeafsnit"/>
              <w:ind w:left="643"/>
            </w:pPr>
          </w:p>
          <w:p w14:paraId="5B41106B" w14:textId="531CD38D" w:rsidR="009B5EDE" w:rsidRPr="00497580" w:rsidRDefault="009B5EDE" w:rsidP="00497580">
            <w:pPr>
              <w:rPr>
                <w:color w:val="000000" w:themeColor="text1"/>
              </w:rPr>
            </w:pPr>
            <w:r w:rsidRPr="00497580">
              <w:rPr>
                <w:i/>
                <w:iCs/>
              </w:rPr>
              <w:t xml:space="preserve">Stk. 2. </w:t>
            </w:r>
            <w:r w:rsidRPr="00497580">
              <w:rPr>
                <w:color w:val="000000" w:themeColor="text1"/>
              </w:rPr>
              <w:t xml:space="preserve">Ein og hvør, sum beinleiðis ella óbeinleiðis eigur ella hevur ræði á felagnum, skal eftir áheitan frá felagnum lata felagnum tær upplýsingar um ognarviðurskiftini, sum eru neyðugar til tess, at felagið kann eyðmerkja veruligu eigararnar, </w:t>
            </w:r>
            <w:proofErr w:type="spellStart"/>
            <w:r w:rsidR="00DB2945">
              <w:t>heruppií</w:t>
            </w:r>
            <w:proofErr w:type="spellEnd"/>
            <w:r w:rsidR="00DB2945" w:rsidRPr="00DA2A9F">
              <w:t xml:space="preserve"> </w:t>
            </w:r>
            <w:r w:rsidRPr="00497580">
              <w:rPr>
                <w:color w:val="000000" w:themeColor="text1"/>
              </w:rPr>
              <w:t>rættindi hjá teimum veruligu eigarunum.</w:t>
            </w:r>
          </w:p>
          <w:p w14:paraId="6A1FC2AB" w14:textId="77777777" w:rsidR="009B5EDE" w:rsidRDefault="009B5EDE" w:rsidP="009B5EDE">
            <w:pPr>
              <w:pStyle w:val="Listeafsnit"/>
              <w:ind w:left="643"/>
            </w:pPr>
          </w:p>
          <w:p w14:paraId="5F7C063E" w14:textId="42957875" w:rsidR="009B5EDE" w:rsidRDefault="009B5EDE" w:rsidP="00497580">
            <w:r w:rsidRPr="00497580">
              <w:rPr>
                <w:i/>
                <w:iCs/>
              </w:rPr>
              <w:t xml:space="preserve">Stk. 3. </w:t>
            </w:r>
            <w:r w:rsidRPr="00E9401B">
              <w:t xml:space="preserve">Felagið skal skjótast gjørligt, eftir at felagið er </w:t>
            </w:r>
            <w:r>
              <w:t xml:space="preserve">vorið </w:t>
            </w:r>
            <w:r w:rsidRPr="00E9401B">
              <w:t>kunnugt við, at ein persónur er blivin veruligur eigari, skráseta upplýsingarnar</w:t>
            </w:r>
            <w:r>
              <w:t xml:space="preserve">, </w:t>
            </w:r>
            <w:proofErr w:type="spellStart"/>
            <w:r w:rsidR="00DB2945">
              <w:t>heruppií</w:t>
            </w:r>
            <w:proofErr w:type="spellEnd"/>
            <w:r w:rsidR="00DB2945">
              <w:t xml:space="preserve"> </w:t>
            </w:r>
            <w:r>
              <w:t>upplýsingar um rættindini hjá teimum veruligu eigarunum,</w:t>
            </w:r>
            <w:r w:rsidRPr="00E9401B">
              <w:t xml:space="preserve"> í </w:t>
            </w:r>
            <w:proofErr w:type="spellStart"/>
            <w:r w:rsidRPr="00E9401B">
              <w:t>kt-skipan</w:t>
            </w:r>
            <w:proofErr w:type="spellEnd"/>
            <w:r w:rsidRPr="00E9401B">
              <w:t xml:space="preserve"> Skráseting Føroya. Ein</w:t>
            </w:r>
            <w:r>
              <w:t xml:space="preserve"> og </w:t>
            </w:r>
            <w:r w:rsidRPr="00E9401B">
              <w:t xml:space="preserve">hvør </w:t>
            </w:r>
            <w:r>
              <w:t>broyting í teimum upplýsingum, sum eru skrásettar um veruligu eigararnar, skal skrásetast skjótast gjørligt eftir, at felagið er vorið kunnugt við broytingina. Teir s</w:t>
            </w:r>
            <w:r w:rsidRPr="00E9401B">
              <w:t xml:space="preserve">krásettu limirnir í </w:t>
            </w:r>
            <w:r>
              <w:t>dagligu leiðslu</w:t>
            </w:r>
            <w:r w:rsidRPr="00E9401B">
              <w:t xml:space="preserve"> felagsins, sbr. § 10, stk. 1, skulu roknast og skrásetast í </w:t>
            </w:r>
            <w:proofErr w:type="spellStart"/>
            <w:r w:rsidRPr="00E9401B">
              <w:t>kt-skipan</w:t>
            </w:r>
            <w:proofErr w:type="spellEnd"/>
            <w:r w:rsidRPr="00E9401B">
              <w:t xml:space="preserve"> Skráseting Føroya, sum veruligir eigarar, um </w:t>
            </w:r>
            <w:r>
              <w:t>so er, at felagið, eftir at hava troytt allar møguleikar fyri eyðmerking, eftir hetta ongar veruligar eigarar hevur, ella ongar veruligar eigarar kann eyðmerkja.</w:t>
            </w:r>
          </w:p>
          <w:p w14:paraId="3408567C" w14:textId="77777777" w:rsidR="009B5EDE" w:rsidRDefault="009B5EDE" w:rsidP="009B5EDE">
            <w:pPr>
              <w:pStyle w:val="Listeafsnit"/>
              <w:ind w:left="643"/>
            </w:pPr>
          </w:p>
          <w:p w14:paraId="3EEAA458" w14:textId="77777777" w:rsidR="009B5EDE" w:rsidRDefault="009B5EDE" w:rsidP="00497580">
            <w:r w:rsidRPr="00497580">
              <w:rPr>
                <w:i/>
                <w:iCs/>
              </w:rPr>
              <w:t xml:space="preserve">Stk. 4. </w:t>
            </w:r>
            <w:proofErr w:type="spellStart"/>
            <w:r w:rsidRPr="00E9401B">
              <w:t>Kapitalfelagið</w:t>
            </w:r>
            <w:proofErr w:type="spellEnd"/>
            <w:r w:rsidRPr="00E9401B">
              <w:t xml:space="preserve"> skal í minsta lagi eina ferð um árið kanna, um broytingar </w:t>
            </w:r>
            <w:r>
              <w:t xml:space="preserve">skulu gerast </w:t>
            </w:r>
            <w:r w:rsidRPr="00E9401B">
              <w:t>í skrásettu upplýsingu</w:t>
            </w:r>
            <w:r>
              <w:t>nu</w:t>
            </w:r>
            <w:r w:rsidRPr="00E9401B">
              <w:t xml:space="preserve">m um veruligu eigararnar. Úrslitið av árligu </w:t>
            </w:r>
            <w:r w:rsidRPr="00E9401B">
              <w:lastRenderedPageBreak/>
              <w:t xml:space="preserve">kanningini skal leggjast fram á fundinum, har høvuðsleiðslan góðkennir </w:t>
            </w:r>
            <w:proofErr w:type="spellStart"/>
            <w:r w:rsidRPr="00E9401B">
              <w:t>ársfrásøgnina</w:t>
            </w:r>
            <w:proofErr w:type="spellEnd"/>
            <w:r w:rsidRPr="00E9401B">
              <w:t>.</w:t>
            </w:r>
          </w:p>
          <w:p w14:paraId="4AAFA0E1" w14:textId="77777777" w:rsidR="009B5EDE" w:rsidRDefault="009B5EDE" w:rsidP="009B5EDE">
            <w:pPr>
              <w:pStyle w:val="Listeafsnit"/>
              <w:ind w:left="643"/>
              <w:rPr>
                <w:i/>
                <w:iCs/>
              </w:rPr>
            </w:pPr>
          </w:p>
          <w:p w14:paraId="4EBBBA91" w14:textId="77777777" w:rsidR="009B5EDE" w:rsidRDefault="009B5EDE" w:rsidP="00497580">
            <w:r w:rsidRPr="00497580">
              <w:rPr>
                <w:i/>
                <w:iCs/>
              </w:rPr>
              <w:t xml:space="preserve">Stk. 5. </w:t>
            </w:r>
            <w:r w:rsidRPr="00E9401B">
              <w:t xml:space="preserve">Felagið skal goyma skjalprógv um upplýsingarnar um veruligu eigarar tess í fimm ár eftir, at veruligu eigaraviðurskiftini hildu uppat. Felagið skal harumframt goyma skjalprógv </w:t>
            </w:r>
            <w:r>
              <w:t xml:space="preserve">fyri teimum savnaðu upplýsingunum </w:t>
            </w:r>
            <w:r w:rsidRPr="00E9401B">
              <w:t>um royndir at eyðmerkja veruligar eigarar í fimm ár eftir, at royndirnar at eyðmerkja vórðu framdar.</w:t>
            </w:r>
          </w:p>
          <w:p w14:paraId="12F13CEC" w14:textId="77777777" w:rsidR="009B5EDE" w:rsidRDefault="009B5EDE" w:rsidP="009B5EDE">
            <w:pPr>
              <w:pStyle w:val="Listeafsnit"/>
              <w:ind w:left="643"/>
              <w:rPr>
                <w:i/>
                <w:iCs/>
              </w:rPr>
            </w:pPr>
          </w:p>
          <w:p w14:paraId="4BBAE0F5" w14:textId="289BF746" w:rsidR="009B5EDE" w:rsidRDefault="009B5EDE" w:rsidP="00497580">
            <w:r w:rsidRPr="00497580">
              <w:rPr>
                <w:i/>
                <w:iCs/>
              </w:rPr>
              <w:t>Stk. 6.</w:t>
            </w:r>
            <w:r>
              <w:t xml:space="preserve"> </w:t>
            </w:r>
            <w:r w:rsidRPr="00E9401B">
              <w:t xml:space="preserve">Felagið skal eftir áheitan lata upplýsingar til Føroya Landfúta um veruligu eigarar felagsins, </w:t>
            </w:r>
            <w:proofErr w:type="spellStart"/>
            <w:r w:rsidR="00DB2945">
              <w:t>heruppií</w:t>
            </w:r>
            <w:proofErr w:type="spellEnd"/>
            <w:r w:rsidR="00DB2945">
              <w:t xml:space="preserve"> </w:t>
            </w:r>
            <w:r>
              <w:t xml:space="preserve">um </w:t>
            </w:r>
            <w:r w:rsidRPr="00E9401B">
              <w:t xml:space="preserve">royndir at eyðmerkja </w:t>
            </w:r>
            <w:r>
              <w:t xml:space="preserve">felagsins </w:t>
            </w:r>
            <w:r w:rsidRPr="00E9401B">
              <w:t xml:space="preserve">veruligu eigarar. Felagið skal harumframt eftir áheitan útflýggja nevndu upplýsingar til aðrar </w:t>
            </w:r>
            <w:proofErr w:type="spellStart"/>
            <w:r>
              <w:t>málførar</w:t>
            </w:r>
            <w:proofErr w:type="spellEnd"/>
            <w:r>
              <w:t xml:space="preserve"> </w:t>
            </w:r>
            <w:r w:rsidRPr="00E9401B">
              <w:t>myndugleikar, tá</w:t>
            </w:r>
            <w:r>
              <w:t xml:space="preserve"> ið</w:t>
            </w:r>
            <w:r w:rsidRPr="00E9401B">
              <w:t xml:space="preserve"> hesir myndugleikar meta, at upplýsingarnar eru neyðugar fyri røkt av eftirlits- ella </w:t>
            </w:r>
            <w:proofErr w:type="spellStart"/>
            <w:r w:rsidRPr="00E9401B">
              <w:t>umsjónaruppgávum</w:t>
            </w:r>
            <w:proofErr w:type="spellEnd"/>
            <w:r w:rsidRPr="00E9401B">
              <w:t xml:space="preserve"> teirra.</w:t>
            </w:r>
          </w:p>
          <w:p w14:paraId="5B54EBD2" w14:textId="77777777" w:rsidR="009B5EDE" w:rsidRDefault="009B5EDE" w:rsidP="009B5EDE">
            <w:pPr>
              <w:pStyle w:val="Listeafsnit"/>
              <w:ind w:left="643"/>
            </w:pPr>
          </w:p>
          <w:p w14:paraId="63E7C8CE" w14:textId="50ACD632" w:rsidR="009B5EDE" w:rsidRDefault="009B5EDE" w:rsidP="00497580">
            <w:r w:rsidRPr="00497580">
              <w:rPr>
                <w:i/>
                <w:iCs/>
              </w:rPr>
              <w:t xml:space="preserve">Stk. 7. </w:t>
            </w:r>
            <w:bookmarkStart w:id="0" w:name="_Hlk140134047"/>
            <w:r>
              <w:t xml:space="preserve">Føroya Landfúti og aðrir málførir myndugleikar kunnu uttan viðurgjald lata upplýsingar víðari um veruligar eigarar, sum eru skrásettar sambært stk. 3, ella sum eru savnaðar sambært stk. 6, til </w:t>
            </w:r>
            <w:proofErr w:type="spellStart"/>
            <w:r>
              <w:t>málførar</w:t>
            </w:r>
            <w:proofErr w:type="spellEnd"/>
            <w:r>
              <w:t xml:space="preserve"> myndugleikar og </w:t>
            </w:r>
            <w:proofErr w:type="spellStart"/>
            <w:r>
              <w:t>eftirlitsmyndugleikar</w:t>
            </w:r>
            <w:proofErr w:type="spellEnd"/>
            <w:r>
              <w:t xml:space="preserve"> á fíggjarøkinum í </w:t>
            </w:r>
            <w:proofErr w:type="spellStart"/>
            <w:r>
              <w:t>ES-limalondum</w:t>
            </w:r>
            <w:proofErr w:type="spellEnd"/>
            <w:r>
              <w:t>.</w:t>
            </w:r>
            <w:bookmarkEnd w:id="0"/>
          </w:p>
          <w:p w14:paraId="4E0F67CB" w14:textId="77777777" w:rsidR="009B5EDE" w:rsidRDefault="009B5EDE" w:rsidP="009B5EDE">
            <w:pPr>
              <w:pStyle w:val="Listeafsnit"/>
              <w:ind w:left="643"/>
            </w:pPr>
          </w:p>
          <w:p w14:paraId="400DB23C" w14:textId="77777777" w:rsidR="009B5EDE" w:rsidRPr="001E20A5" w:rsidRDefault="009B5EDE" w:rsidP="00497580">
            <w:r w:rsidRPr="00497580">
              <w:rPr>
                <w:i/>
                <w:iCs/>
              </w:rPr>
              <w:t xml:space="preserve">Stk. 8. </w:t>
            </w:r>
            <w:r w:rsidRPr="001E20A5">
              <w:t xml:space="preserve">Stk. 1-7 verða ikki nýtt upp á feløg, hvørs </w:t>
            </w:r>
            <w:proofErr w:type="spellStart"/>
            <w:r w:rsidRPr="001E20A5">
              <w:t>eigarapartar</w:t>
            </w:r>
            <w:proofErr w:type="spellEnd"/>
            <w:r w:rsidRPr="001E20A5">
              <w:t xml:space="preserve"> ella lánsbrøv verða </w:t>
            </w:r>
            <w:proofErr w:type="spellStart"/>
            <w:r w:rsidRPr="001E20A5">
              <w:t>handlaðir</w:t>
            </w:r>
            <w:proofErr w:type="spellEnd"/>
            <w:r w:rsidRPr="001E20A5">
              <w:t xml:space="preserve"> á einum </w:t>
            </w:r>
            <w:proofErr w:type="spellStart"/>
            <w:r w:rsidRPr="001E20A5">
              <w:t>reguleraðum</w:t>
            </w:r>
            <w:proofErr w:type="spellEnd"/>
            <w:r w:rsidRPr="001E20A5">
              <w:t xml:space="preserve"> marknaði ella samsvarandi marknaði, sum er álagdur upplýsingarskyldu samsvarandi </w:t>
            </w:r>
            <w:proofErr w:type="spellStart"/>
            <w:r w:rsidRPr="001E20A5">
              <w:t>ES-rættinum</w:t>
            </w:r>
            <w:proofErr w:type="spellEnd"/>
            <w:r w:rsidRPr="001E20A5">
              <w:t xml:space="preserve"> ella samsvarandi altjóða standardum</w:t>
            </w:r>
            <w:r w:rsidRPr="00497580">
              <w:rPr>
                <w:i/>
                <w:iCs/>
              </w:rPr>
              <w:t>.</w:t>
            </w:r>
          </w:p>
          <w:p w14:paraId="687B7951" w14:textId="77777777" w:rsidR="009B5EDE" w:rsidRDefault="009B5EDE" w:rsidP="009B5EDE">
            <w:pPr>
              <w:pStyle w:val="Listeafsnit"/>
              <w:ind w:left="643"/>
            </w:pPr>
          </w:p>
          <w:p w14:paraId="63EA0A3D" w14:textId="74EC1416" w:rsidR="009B5EDE" w:rsidRPr="001E20A5" w:rsidRDefault="009B5EDE" w:rsidP="00497580">
            <w:r w:rsidRPr="00497580">
              <w:rPr>
                <w:i/>
                <w:iCs/>
              </w:rPr>
              <w:t xml:space="preserve">Stk. 9. </w:t>
            </w:r>
            <w:r w:rsidRPr="00E9401B">
              <w:t xml:space="preserve">Landsstýrismaðurin ásetur nærri reglur um skráseting, </w:t>
            </w:r>
            <w:proofErr w:type="spellStart"/>
            <w:r w:rsidRPr="00E9401B">
              <w:t>atkomu</w:t>
            </w:r>
            <w:proofErr w:type="spellEnd"/>
            <w:r>
              <w:t xml:space="preserve"> til</w:t>
            </w:r>
            <w:r w:rsidRPr="00E9401B">
              <w:t xml:space="preserve"> og kunngering av upplýsingum eftir stk. 1, 3 og 5 í </w:t>
            </w:r>
            <w:proofErr w:type="spellStart"/>
            <w:r w:rsidRPr="00E9401B">
              <w:t>kt-skipan</w:t>
            </w:r>
            <w:proofErr w:type="spellEnd"/>
            <w:r w:rsidRPr="00E9401B">
              <w:t xml:space="preserve"> Skráseting Føroya, </w:t>
            </w:r>
            <w:proofErr w:type="spellStart"/>
            <w:r w:rsidR="00DB2945">
              <w:t>heruppií</w:t>
            </w:r>
            <w:proofErr w:type="spellEnd"/>
            <w:r w:rsidR="00DB2945" w:rsidRPr="00E9401B">
              <w:t xml:space="preserve"> </w:t>
            </w:r>
            <w:r w:rsidRPr="00E9401B">
              <w:t xml:space="preserve">hvørjar upplýsingar skulu skrásetast í </w:t>
            </w:r>
            <w:proofErr w:type="spellStart"/>
            <w:r w:rsidRPr="00E9401B">
              <w:t>kt-skipanini</w:t>
            </w:r>
            <w:proofErr w:type="spellEnd"/>
            <w:r w:rsidRPr="00E9401B">
              <w:t>.</w:t>
            </w:r>
            <w:r>
              <w:t>”</w:t>
            </w:r>
          </w:p>
          <w:p w14:paraId="2FA33006" w14:textId="6464E929" w:rsidR="003A6690" w:rsidRDefault="003A6690" w:rsidP="003A6690"/>
        </w:tc>
      </w:tr>
      <w:tr w:rsidR="003A6690" w14:paraId="190A709A" w14:textId="77777777" w:rsidTr="003A6690">
        <w:tc>
          <w:tcPr>
            <w:tcW w:w="4508" w:type="dxa"/>
          </w:tcPr>
          <w:p w14:paraId="4E4BF1DA" w14:textId="2937E0FB" w:rsidR="003A6690" w:rsidRDefault="000768C0" w:rsidP="009B5EDE">
            <w:r>
              <w:lastRenderedPageBreak/>
              <w:t xml:space="preserve">Ásetingin er nýggj. </w:t>
            </w:r>
          </w:p>
        </w:tc>
        <w:tc>
          <w:tcPr>
            <w:tcW w:w="4508" w:type="dxa"/>
          </w:tcPr>
          <w:p w14:paraId="4175ACDA" w14:textId="77777777" w:rsidR="000768C0" w:rsidRDefault="000768C0" w:rsidP="000768C0">
            <w:pPr>
              <w:pStyle w:val="Listeafsnit"/>
              <w:numPr>
                <w:ilvl w:val="0"/>
                <w:numId w:val="3"/>
              </w:numPr>
            </w:pPr>
            <w:r>
              <w:t xml:space="preserve">Aftaná § 58 a verður sett: </w:t>
            </w:r>
          </w:p>
          <w:p w14:paraId="5A74FF76" w14:textId="77777777" w:rsidR="000768C0" w:rsidRDefault="000768C0" w:rsidP="000768C0">
            <w:pPr>
              <w:pStyle w:val="Listeafsnit"/>
              <w:ind w:left="643"/>
            </w:pPr>
          </w:p>
          <w:p w14:paraId="55792AA8" w14:textId="27557211" w:rsidR="000768C0" w:rsidRDefault="000768C0" w:rsidP="00497580">
            <w:r>
              <w:t xml:space="preserve">“§ 58 b. </w:t>
            </w:r>
            <w:bookmarkStart w:id="1" w:name="_Hlk144366285"/>
            <w:r>
              <w:t xml:space="preserve">Tá eitt </w:t>
            </w:r>
            <w:proofErr w:type="spellStart"/>
            <w:r>
              <w:t>kapitalfelag</w:t>
            </w:r>
            <w:proofErr w:type="spellEnd"/>
            <w:r>
              <w:t xml:space="preserve"> verður stovnað, skulu upplýsingar um felagsins veruligu </w:t>
            </w:r>
            <w:r>
              <w:lastRenderedPageBreak/>
              <w:t xml:space="preserve">eigarar, </w:t>
            </w:r>
            <w:proofErr w:type="spellStart"/>
            <w:r w:rsidR="00DB2945">
              <w:t>heruppií</w:t>
            </w:r>
            <w:proofErr w:type="spellEnd"/>
            <w:r w:rsidR="00DB2945">
              <w:t xml:space="preserve"> </w:t>
            </w:r>
            <w:r>
              <w:t>rættindi hjá teimum veruligu eigarunum, innheintast og skrásetast í seinasta lagi samstundis við skrásetingina av felagnum, sbrt. § 9, stk. 1.”</w:t>
            </w:r>
          </w:p>
          <w:bookmarkEnd w:id="1"/>
          <w:p w14:paraId="528A2717" w14:textId="21375FDA" w:rsidR="003A6690" w:rsidRDefault="003A6690" w:rsidP="003A6690"/>
        </w:tc>
      </w:tr>
      <w:tr w:rsidR="003A6690" w14:paraId="2FCAB40C" w14:textId="77777777" w:rsidTr="003A6690">
        <w:tc>
          <w:tcPr>
            <w:tcW w:w="4508" w:type="dxa"/>
          </w:tcPr>
          <w:p w14:paraId="3925A6C1" w14:textId="5EEA00FF" w:rsidR="003A6690" w:rsidRDefault="000768C0" w:rsidP="009B5EDE">
            <w:r>
              <w:lastRenderedPageBreak/>
              <w:t>Ásetingin er nýggj.</w:t>
            </w:r>
          </w:p>
        </w:tc>
        <w:tc>
          <w:tcPr>
            <w:tcW w:w="4508" w:type="dxa"/>
          </w:tcPr>
          <w:p w14:paraId="70075696" w14:textId="77777777" w:rsidR="000768C0" w:rsidRDefault="000768C0" w:rsidP="000768C0">
            <w:pPr>
              <w:pStyle w:val="Listeafsnit"/>
              <w:numPr>
                <w:ilvl w:val="0"/>
                <w:numId w:val="3"/>
              </w:numPr>
            </w:pPr>
            <w:r>
              <w:t>Aftaná § 58 b, áðrenn yvirskriftina “</w:t>
            </w:r>
            <w:proofErr w:type="spellStart"/>
            <w:r w:rsidRPr="0092151C">
              <w:rPr>
                <w:i/>
                <w:iCs/>
              </w:rPr>
              <w:t>Eigaraprógv</w:t>
            </w:r>
            <w:proofErr w:type="spellEnd"/>
            <w:r>
              <w:t xml:space="preserve">”, verður sett: </w:t>
            </w:r>
          </w:p>
          <w:p w14:paraId="6491A00B" w14:textId="77777777" w:rsidR="000768C0" w:rsidRDefault="000768C0" w:rsidP="000768C0">
            <w:pPr>
              <w:pStyle w:val="Listeafsnit"/>
              <w:ind w:left="643"/>
            </w:pPr>
          </w:p>
          <w:p w14:paraId="41B5A109" w14:textId="77777777" w:rsidR="000768C0" w:rsidRDefault="000768C0" w:rsidP="00497580">
            <w:r>
              <w:t xml:space="preserve">“§ 58 c. Feløg, sum skulu savna, varðveita og skráseta upplýsingar um veruligar eigarar, sbrt. § 58 a, skulu eftir áheitan útvega persónum og fyritøkum, sum sambært </w:t>
            </w:r>
            <w:proofErr w:type="spellStart"/>
            <w:r>
              <w:t>hvítvasklóggávuni</w:t>
            </w:r>
            <w:proofErr w:type="spellEnd"/>
            <w:r>
              <w:t xml:space="preserve"> hava skyldu til at gera </w:t>
            </w:r>
            <w:proofErr w:type="spellStart"/>
            <w:r>
              <w:t>kundakunnleikamannagongdir</w:t>
            </w:r>
            <w:proofErr w:type="spellEnd"/>
            <w:r>
              <w:t xml:space="preserve">, upplýsingar um eigaraviðurskifti felagsins.  </w:t>
            </w:r>
          </w:p>
          <w:p w14:paraId="6FEFA458" w14:textId="77777777" w:rsidR="000768C0" w:rsidRDefault="000768C0" w:rsidP="000768C0">
            <w:pPr>
              <w:pStyle w:val="Listeafsnit"/>
              <w:ind w:left="643"/>
            </w:pPr>
          </w:p>
          <w:p w14:paraId="5780A826" w14:textId="77777777" w:rsidR="000768C0" w:rsidRDefault="000768C0" w:rsidP="00497580">
            <w:r w:rsidRPr="00497580">
              <w:rPr>
                <w:i/>
                <w:iCs/>
              </w:rPr>
              <w:t xml:space="preserve">Stk. 2. </w:t>
            </w:r>
            <w:r>
              <w:t xml:space="preserve">Fær Skráseting Føroya fráboðan sambært </w:t>
            </w:r>
            <w:proofErr w:type="spellStart"/>
            <w:r>
              <w:t>hvítvasklóggávuni</w:t>
            </w:r>
            <w:proofErr w:type="spellEnd"/>
            <w:r>
              <w:t xml:space="preserve">, um ósamsvar í skrásettu upplýsingunum um felagsins veruligu eigarar, setur Skráseting Føroya eina kanning í verk, sbrt. § 17 og § 58 a, stk. 6 av hesum viðurskiftum. Skráseting Føroya kann mótvegis felagnum áseta eina freist fyri rætting av upplýsingunum.  </w:t>
            </w:r>
          </w:p>
          <w:p w14:paraId="7DBF8E18" w14:textId="77777777" w:rsidR="000768C0" w:rsidRDefault="000768C0" w:rsidP="000768C0">
            <w:pPr>
              <w:pStyle w:val="Listeafsnit"/>
              <w:ind w:left="643"/>
            </w:pPr>
          </w:p>
          <w:p w14:paraId="38BB3C2F" w14:textId="77777777" w:rsidR="000768C0" w:rsidRPr="00497580" w:rsidRDefault="000768C0" w:rsidP="00497580">
            <w:pPr>
              <w:rPr>
                <w:i/>
                <w:iCs/>
              </w:rPr>
            </w:pPr>
            <w:r w:rsidRPr="00497580">
              <w:rPr>
                <w:i/>
                <w:iCs/>
              </w:rPr>
              <w:t xml:space="preserve">Stk. 3. </w:t>
            </w:r>
            <w:r>
              <w:t xml:space="preserve">Skráseting Føroya kann samstundis sum kanningin eftir eftir stk. 2 verður gjørd, almannakunngera eina frágreiðing um fráboðanina í </w:t>
            </w:r>
            <w:proofErr w:type="spellStart"/>
            <w:r w:rsidRPr="00497580">
              <w:rPr>
                <w:color w:val="000000"/>
                <w:shd w:val="clear" w:color="auto" w:fill="FFFFFF"/>
              </w:rPr>
              <w:t>kt-skipan</w:t>
            </w:r>
            <w:proofErr w:type="spellEnd"/>
            <w:r w:rsidRPr="00497580">
              <w:rPr>
                <w:color w:val="000000"/>
                <w:shd w:val="clear" w:color="auto" w:fill="FFFFFF"/>
              </w:rPr>
              <w:t xml:space="preserve"> Skráseting Føroya. Felagið skal hava møguleika til at mótmæla fráboðanina, áðrenn hon verður almannakunngjørd, uttan so at endamálið við almannakunngerð av frágreiðingini um fráboðanina fer fyri skeytið.”</w:t>
            </w:r>
          </w:p>
          <w:p w14:paraId="747B0DBB" w14:textId="351481B4" w:rsidR="003A6690" w:rsidRDefault="003A6690" w:rsidP="00784FD7">
            <w:pPr>
              <w:pStyle w:val="Listeafsnit"/>
              <w:ind w:left="643"/>
            </w:pPr>
          </w:p>
        </w:tc>
      </w:tr>
      <w:tr w:rsidR="003A6690" w14:paraId="23F13CDE" w14:textId="77777777" w:rsidTr="003A6690">
        <w:tc>
          <w:tcPr>
            <w:tcW w:w="4508" w:type="dxa"/>
          </w:tcPr>
          <w:p w14:paraId="148C1E69" w14:textId="63A79E8F" w:rsidR="003A6690" w:rsidRDefault="00784FD7" w:rsidP="009B5EDE">
            <w:r>
              <w:rPr>
                <w:b/>
                <w:bCs/>
              </w:rPr>
              <w:t xml:space="preserve">§ 126. </w:t>
            </w:r>
            <w:r>
              <w:rPr>
                <w:i/>
                <w:iCs/>
              </w:rPr>
              <w:t>Stk. 2</w:t>
            </w:r>
            <w:r>
              <w:t xml:space="preserve">. Nevndar- og </w:t>
            </w:r>
            <w:proofErr w:type="spellStart"/>
            <w:r>
              <w:t>eftirlitsráðsfundir</w:t>
            </w:r>
            <w:proofErr w:type="spellEnd"/>
            <w:r>
              <w:t xml:space="preserve"> kunnu, um </w:t>
            </w:r>
            <w:proofErr w:type="spellStart"/>
            <w:r>
              <w:t>meirlutin</w:t>
            </w:r>
            <w:proofErr w:type="spellEnd"/>
            <w:r>
              <w:t xml:space="preserve"> avger tað, haldast á einum øðrum máli enn føroyskum, samstundis sum møguleiki skal vera fyri </w:t>
            </w:r>
            <w:proofErr w:type="spellStart"/>
            <w:r>
              <w:t>beinleiðistulking</w:t>
            </w:r>
            <w:proofErr w:type="spellEnd"/>
            <w:r>
              <w:t xml:space="preserve"> til og úr føroyskum til allar luttakarar. Fyri at halda fundir á øðrum máli enn føroyskum krevst, at allir nevndar- ella </w:t>
            </w:r>
            <w:proofErr w:type="spellStart"/>
            <w:r>
              <w:t>eftirlitsráðslimir</w:t>
            </w:r>
            <w:proofErr w:type="spellEnd"/>
            <w:r>
              <w:t xml:space="preserve"> eru samdir um hetta.</w:t>
            </w:r>
          </w:p>
        </w:tc>
        <w:tc>
          <w:tcPr>
            <w:tcW w:w="4508" w:type="dxa"/>
          </w:tcPr>
          <w:p w14:paraId="776BF905" w14:textId="77777777" w:rsidR="00784FD7" w:rsidRDefault="00784FD7" w:rsidP="00784FD7">
            <w:pPr>
              <w:pStyle w:val="Listeafsnit"/>
              <w:numPr>
                <w:ilvl w:val="0"/>
                <w:numId w:val="3"/>
              </w:numPr>
            </w:pPr>
            <w:r>
              <w:t xml:space="preserve">§ 126, stk. 2, 2. pkt. verður orðað soleiðis: </w:t>
            </w:r>
          </w:p>
          <w:p w14:paraId="3A8F797E" w14:textId="77777777" w:rsidR="00784FD7" w:rsidRDefault="00784FD7" w:rsidP="00784FD7">
            <w:pPr>
              <w:pStyle w:val="Listeafsnit"/>
              <w:ind w:left="643"/>
            </w:pPr>
          </w:p>
          <w:p w14:paraId="5E775B2A" w14:textId="043D310D" w:rsidR="003A6690" w:rsidRDefault="00784FD7" w:rsidP="00497580">
            <w:r>
              <w:t xml:space="preserve">“Fyri at halda fundir á øðrum máli  enn føroyskum uttan </w:t>
            </w:r>
            <w:proofErr w:type="spellStart"/>
            <w:r>
              <w:t>beinleiðstulking</w:t>
            </w:r>
            <w:proofErr w:type="spellEnd"/>
            <w:r>
              <w:t xml:space="preserve"> krevst, at allir nevndar- ella </w:t>
            </w:r>
            <w:proofErr w:type="spellStart"/>
            <w:r>
              <w:t>eftirlitsráðslimir</w:t>
            </w:r>
            <w:proofErr w:type="spellEnd"/>
            <w:r>
              <w:t xml:space="preserve"> eru samdir um hetta.”</w:t>
            </w:r>
          </w:p>
        </w:tc>
      </w:tr>
      <w:tr w:rsidR="003A6690" w14:paraId="735E1405" w14:textId="77777777" w:rsidTr="003A6690">
        <w:tc>
          <w:tcPr>
            <w:tcW w:w="4508" w:type="dxa"/>
          </w:tcPr>
          <w:p w14:paraId="63824EB5" w14:textId="0FB2C4ED" w:rsidR="003A6690" w:rsidRDefault="00BE0197" w:rsidP="009B5EDE">
            <w:r w:rsidRPr="00BE0197">
              <w:rPr>
                <w:b/>
                <w:bCs/>
              </w:rPr>
              <w:t>§ 179</w:t>
            </w:r>
            <w:r>
              <w:rPr>
                <w:b/>
                <w:bCs/>
                <w:i/>
                <w:iCs/>
              </w:rPr>
              <w:t xml:space="preserve">. </w:t>
            </w:r>
            <w:r>
              <w:rPr>
                <w:i/>
                <w:iCs/>
              </w:rPr>
              <w:t>Stk. 2.</w:t>
            </w:r>
            <w:r>
              <w:t xml:space="preserve"> </w:t>
            </w:r>
            <w:proofErr w:type="spellStart"/>
            <w:r>
              <w:t>Høvuðsleiðsla</w:t>
            </w:r>
            <w:proofErr w:type="spellEnd"/>
            <w:r>
              <w:t xml:space="preserve"> felagsins hevur ábyrgdina av, at tað ikki verður </w:t>
            </w:r>
            <w:proofErr w:type="spellStart"/>
            <w:r>
              <w:t>útbýtt</w:t>
            </w:r>
            <w:proofErr w:type="spellEnd"/>
            <w:r>
              <w:t xml:space="preserve"> meira enn tað, sum ráðiligt er í mun til fíggjarligu støðu felagsins, og, um talan er um móðurfeløg, fíggjarligu støðu </w:t>
            </w:r>
            <w:proofErr w:type="spellStart"/>
            <w:r>
              <w:t>samtaksins</w:t>
            </w:r>
            <w:proofErr w:type="spellEnd"/>
            <w:r>
              <w:t xml:space="preserve">, og at </w:t>
            </w:r>
            <w:proofErr w:type="spellStart"/>
            <w:r>
              <w:t>útbýtanin</w:t>
            </w:r>
            <w:proofErr w:type="spellEnd"/>
            <w:r>
              <w:t xml:space="preserve"> ikki er til bága fyri felagið ella kravánarar tess, sbr. § 115, nr. 5 og § </w:t>
            </w:r>
            <w:r>
              <w:lastRenderedPageBreak/>
              <w:t xml:space="preserve">116, nr. 5. Høvuðsleiðslan hevur harumframt ábyrgdina av at tað, eftir at </w:t>
            </w:r>
            <w:proofErr w:type="spellStart"/>
            <w:r>
              <w:t>útbýtan</w:t>
            </w:r>
            <w:proofErr w:type="spellEnd"/>
            <w:r>
              <w:t xml:space="preserve"> er farin fram, er dekningur fyri tí tiltakspeningi, sum er bundin sambært lóg ella viðtøkum</w:t>
            </w:r>
          </w:p>
        </w:tc>
        <w:tc>
          <w:tcPr>
            <w:tcW w:w="4508" w:type="dxa"/>
          </w:tcPr>
          <w:p w14:paraId="24FF5779" w14:textId="77777777" w:rsidR="00784FD7" w:rsidRDefault="00784FD7" w:rsidP="00784FD7">
            <w:pPr>
              <w:pStyle w:val="Listeafsnit"/>
              <w:numPr>
                <w:ilvl w:val="0"/>
                <w:numId w:val="3"/>
              </w:numPr>
            </w:pPr>
            <w:r>
              <w:lastRenderedPageBreak/>
              <w:t xml:space="preserve">§ 179, stk. 2, 2. pkt. verður orðað soleiðis: </w:t>
            </w:r>
          </w:p>
          <w:p w14:paraId="72CB7753" w14:textId="77777777" w:rsidR="00784FD7" w:rsidRDefault="00784FD7" w:rsidP="00784FD7">
            <w:pPr>
              <w:pStyle w:val="Listeafsnit"/>
              <w:ind w:left="643"/>
            </w:pPr>
          </w:p>
          <w:p w14:paraId="02AD981A" w14:textId="77777777" w:rsidR="00784FD7" w:rsidRDefault="00784FD7" w:rsidP="00497580">
            <w:r>
              <w:t xml:space="preserve">“Høvuðsleiðslan hevur harumframt ábyrgdina av at tað, eftir </w:t>
            </w:r>
            <w:proofErr w:type="spellStart"/>
            <w:r>
              <w:t>útbýtan</w:t>
            </w:r>
            <w:proofErr w:type="spellEnd"/>
            <w:r>
              <w:t xml:space="preserve"> er farin fram, er fulnaður fyri </w:t>
            </w:r>
            <w:proofErr w:type="spellStart"/>
            <w:r>
              <w:t>felagskapitalinum</w:t>
            </w:r>
            <w:proofErr w:type="spellEnd"/>
            <w:r>
              <w:t xml:space="preserve"> og </w:t>
            </w:r>
            <w:r>
              <w:lastRenderedPageBreak/>
              <w:t>tí tiltakspeningi, sum er bundin sambært lóg ella viðtøkum.”</w:t>
            </w:r>
          </w:p>
          <w:p w14:paraId="19126FF7" w14:textId="62E6FF61" w:rsidR="003A6690" w:rsidRDefault="003A6690" w:rsidP="003A6690"/>
        </w:tc>
      </w:tr>
      <w:tr w:rsidR="003A6690" w14:paraId="51ED7624" w14:textId="77777777" w:rsidTr="003A6690">
        <w:tc>
          <w:tcPr>
            <w:tcW w:w="4508" w:type="dxa"/>
          </w:tcPr>
          <w:p w14:paraId="6CC6E13D" w14:textId="2167953C" w:rsidR="003A6690" w:rsidRDefault="00BE0197" w:rsidP="009B5EDE">
            <w:r w:rsidRPr="00BE0197">
              <w:rPr>
                <w:b/>
                <w:bCs/>
              </w:rPr>
              <w:lastRenderedPageBreak/>
              <w:t>§ 224.</w:t>
            </w:r>
            <w:r>
              <w:t xml:space="preserve"> </w:t>
            </w:r>
            <w:r>
              <w:rPr>
                <w:i/>
                <w:iCs/>
              </w:rPr>
              <w:t>Stk. 2.</w:t>
            </w:r>
            <w:r>
              <w:t xml:space="preserve"> Í seinasta lagi 2 vikur eftir at </w:t>
            </w:r>
            <w:proofErr w:type="spellStart"/>
            <w:r>
              <w:t>kapitaleigararnir</w:t>
            </w:r>
            <w:proofErr w:type="spellEnd"/>
            <w:r>
              <w:t xml:space="preserve"> hava endaliga </w:t>
            </w:r>
            <w:proofErr w:type="spellStart"/>
            <w:r>
              <w:t>likvidatiónsroknskapin</w:t>
            </w:r>
            <w:proofErr w:type="spellEnd"/>
            <w:r>
              <w:t xml:space="preserve">, skal Skráseting Føroya hava fingið fráboðan um hetta frá </w:t>
            </w:r>
            <w:proofErr w:type="spellStart"/>
            <w:r>
              <w:t>likvidatorun</w:t>
            </w:r>
            <w:proofErr w:type="spellEnd"/>
            <w:r>
              <w:t xml:space="preserve">. </w:t>
            </w:r>
            <w:proofErr w:type="spellStart"/>
            <w:r>
              <w:t>Likvidatiónsroknskapurin</w:t>
            </w:r>
            <w:proofErr w:type="spellEnd"/>
            <w:r>
              <w:t xml:space="preserve"> skal verða </w:t>
            </w:r>
            <w:proofErr w:type="spellStart"/>
            <w:r>
              <w:t>viðlagdur</w:t>
            </w:r>
            <w:proofErr w:type="spellEnd"/>
            <w:r>
              <w:t xml:space="preserve"> sum skjal til hesa fráboðan. </w:t>
            </w:r>
            <w:proofErr w:type="spellStart"/>
            <w:r>
              <w:t>Likvidatiónsroknskapurin</w:t>
            </w:r>
            <w:proofErr w:type="spellEnd"/>
            <w:r>
              <w:t xml:space="preserve"> skal grannskoðast, um so er at felagið er fevnt av </w:t>
            </w:r>
            <w:proofErr w:type="spellStart"/>
            <w:r>
              <w:t>grannskoðaraskyldu</w:t>
            </w:r>
            <w:proofErr w:type="spellEnd"/>
            <w:r>
              <w:t xml:space="preserve"> eftir ársroknskaparlógini ella aðrari lóggávu. Skráseting Føroya strikar síðani felagið.</w:t>
            </w:r>
          </w:p>
        </w:tc>
        <w:tc>
          <w:tcPr>
            <w:tcW w:w="4508" w:type="dxa"/>
          </w:tcPr>
          <w:p w14:paraId="1BFCEDEB" w14:textId="77777777" w:rsidR="00784FD7" w:rsidRDefault="00784FD7" w:rsidP="00784FD7">
            <w:pPr>
              <w:pStyle w:val="Listeafsnit"/>
              <w:numPr>
                <w:ilvl w:val="0"/>
                <w:numId w:val="3"/>
              </w:numPr>
            </w:pPr>
            <w:r>
              <w:t xml:space="preserve">Í § 224, stk. 2, 1. pkt., frammanfyri “endaliga”, verður sett “góðkent”.  </w:t>
            </w:r>
          </w:p>
          <w:p w14:paraId="24BBC125" w14:textId="60F99C1D" w:rsidR="003A6690" w:rsidRDefault="003A6690" w:rsidP="003A6690"/>
        </w:tc>
      </w:tr>
      <w:tr w:rsidR="009B5EDE" w14:paraId="35711A6A" w14:textId="77777777" w:rsidTr="009B5EDE">
        <w:tc>
          <w:tcPr>
            <w:tcW w:w="4508" w:type="dxa"/>
          </w:tcPr>
          <w:p w14:paraId="3A9F5A40" w14:textId="77777777" w:rsidR="00BE0197" w:rsidRDefault="00BE0197" w:rsidP="00BE0197">
            <w:pPr>
              <w:pStyle w:val="paragraftekst"/>
            </w:pPr>
            <w:r>
              <w:rPr>
                <w:b/>
                <w:bCs/>
              </w:rPr>
              <w:t>§ 225</w:t>
            </w:r>
            <w:r>
              <w:t xml:space="preserve">. </w:t>
            </w:r>
            <w:proofErr w:type="spellStart"/>
            <w:r>
              <w:t>Skráseting</w:t>
            </w:r>
            <w:proofErr w:type="spellEnd"/>
            <w:r>
              <w:t xml:space="preserve"> </w:t>
            </w:r>
            <w:proofErr w:type="spellStart"/>
            <w:r>
              <w:t>Føroya</w:t>
            </w:r>
            <w:proofErr w:type="spellEnd"/>
            <w:r>
              <w:t xml:space="preserve"> </w:t>
            </w:r>
            <w:proofErr w:type="spellStart"/>
            <w:r>
              <w:t>kann</w:t>
            </w:r>
            <w:proofErr w:type="spellEnd"/>
            <w:r>
              <w:t xml:space="preserve"> </w:t>
            </w:r>
            <w:proofErr w:type="spellStart"/>
            <w:r>
              <w:t>heita</w:t>
            </w:r>
            <w:proofErr w:type="spellEnd"/>
            <w:r>
              <w:t xml:space="preserve"> á </w:t>
            </w:r>
            <w:proofErr w:type="spellStart"/>
            <w:r>
              <w:t>skiftirættin</w:t>
            </w:r>
            <w:proofErr w:type="spellEnd"/>
            <w:r>
              <w:t xml:space="preserve"> </w:t>
            </w:r>
            <w:proofErr w:type="spellStart"/>
            <w:r>
              <w:t>um</w:t>
            </w:r>
            <w:proofErr w:type="spellEnd"/>
            <w:r>
              <w:t xml:space="preserve"> at </w:t>
            </w:r>
            <w:proofErr w:type="spellStart"/>
            <w:r>
              <w:t>avtaka</w:t>
            </w:r>
            <w:proofErr w:type="spellEnd"/>
            <w:r>
              <w:t xml:space="preserve"> </w:t>
            </w:r>
            <w:proofErr w:type="spellStart"/>
            <w:r>
              <w:t>eitt</w:t>
            </w:r>
            <w:proofErr w:type="spellEnd"/>
            <w:r>
              <w:t xml:space="preserve"> </w:t>
            </w:r>
            <w:proofErr w:type="spellStart"/>
            <w:r>
              <w:t>kapitalfelag</w:t>
            </w:r>
            <w:proofErr w:type="spellEnd"/>
            <w:r>
              <w:t xml:space="preserve">, </w:t>
            </w:r>
            <w:proofErr w:type="spellStart"/>
            <w:r>
              <w:t>um</w:t>
            </w:r>
            <w:proofErr w:type="spellEnd"/>
            <w:r>
              <w:t xml:space="preserve"> </w:t>
            </w:r>
            <w:proofErr w:type="spellStart"/>
            <w:r>
              <w:t>neyðugt</w:t>
            </w:r>
            <w:proofErr w:type="spellEnd"/>
            <w:r>
              <w:t xml:space="preserve"> </w:t>
            </w:r>
            <w:proofErr w:type="spellStart"/>
            <w:r>
              <w:t>eftir</w:t>
            </w:r>
            <w:proofErr w:type="spellEnd"/>
            <w:r>
              <w:t xml:space="preserve"> § 226, </w:t>
            </w:r>
            <w:proofErr w:type="spellStart"/>
            <w:r>
              <w:t>um</w:t>
            </w:r>
            <w:proofErr w:type="spellEnd"/>
            <w:r>
              <w:t xml:space="preserve"> </w:t>
            </w:r>
          </w:p>
          <w:p w14:paraId="0E560B1E" w14:textId="77777777" w:rsidR="00BE0197" w:rsidRDefault="00BE0197" w:rsidP="00BE0197">
            <w:pPr>
              <w:pStyle w:val="nummer"/>
            </w:pPr>
            <w:r>
              <w:t xml:space="preserve">1)   </w:t>
            </w:r>
            <w:proofErr w:type="spellStart"/>
            <w:r>
              <w:t>Skráseting</w:t>
            </w:r>
            <w:proofErr w:type="spellEnd"/>
            <w:r>
              <w:t xml:space="preserve"> </w:t>
            </w:r>
            <w:proofErr w:type="spellStart"/>
            <w:r>
              <w:t>Føroya</w:t>
            </w:r>
            <w:proofErr w:type="spellEnd"/>
            <w:r>
              <w:t xml:space="preserve"> </w:t>
            </w:r>
            <w:proofErr w:type="spellStart"/>
            <w:r>
              <w:t>ikki</w:t>
            </w:r>
            <w:proofErr w:type="spellEnd"/>
            <w:r>
              <w:t xml:space="preserve"> </w:t>
            </w:r>
            <w:proofErr w:type="spellStart"/>
            <w:r>
              <w:t>rættstundis</w:t>
            </w:r>
            <w:proofErr w:type="spellEnd"/>
            <w:r>
              <w:t xml:space="preserve"> </w:t>
            </w:r>
            <w:proofErr w:type="spellStart"/>
            <w:r>
              <w:t>hevur</w:t>
            </w:r>
            <w:proofErr w:type="spellEnd"/>
            <w:r>
              <w:t xml:space="preserve"> </w:t>
            </w:r>
            <w:proofErr w:type="spellStart"/>
            <w:r>
              <w:t>fingið</w:t>
            </w:r>
            <w:proofErr w:type="spellEnd"/>
            <w:r>
              <w:t xml:space="preserve"> </w:t>
            </w:r>
            <w:proofErr w:type="spellStart"/>
            <w:r>
              <w:t>góðkendu</w:t>
            </w:r>
            <w:proofErr w:type="spellEnd"/>
            <w:r>
              <w:t xml:space="preserve"> </w:t>
            </w:r>
            <w:proofErr w:type="spellStart"/>
            <w:r>
              <w:t>ársfrásøgn</w:t>
            </w:r>
            <w:proofErr w:type="spellEnd"/>
            <w:r>
              <w:t xml:space="preserve"> </w:t>
            </w:r>
            <w:proofErr w:type="spellStart"/>
            <w:r>
              <w:t>kapitalfelagsins</w:t>
            </w:r>
            <w:proofErr w:type="spellEnd"/>
            <w:r>
              <w:t xml:space="preserve"> í </w:t>
            </w:r>
            <w:proofErr w:type="spellStart"/>
            <w:r>
              <w:t>hóskandi</w:t>
            </w:r>
            <w:proofErr w:type="spellEnd"/>
            <w:r>
              <w:t xml:space="preserve"> </w:t>
            </w:r>
            <w:proofErr w:type="spellStart"/>
            <w:r>
              <w:t>standi</w:t>
            </w:r>
            <w:proofErr w:type="spellEnd"/>
            <w:r>
              <w:t xml:space="preserve"> </w:t>
            </w:r>
            <w:proofErr w:type="spellStart"/>
            <w:r>
              <w:t>eftir</w:t>
            </w:r>
            <w:proofErr w:type="spellEnd"/>
            <w:r>
              <w:t xml:space="preserve"> </w:t>
            </w:r>
            <w:proofErr w:type="spellStart"/>
            <w:r>
              <w:t>ársroknskaparlógini</w:t>
            </w:r>
            <w:proofErr w:type="spellEnd"/>
            <w:r>
              <w:t xml:space="preserve">, </w:t>
            </w:r>
          </w:p>
          <w:p w14:paraId="15F5246A" w14:textId="77777777" w:rsidR="00BE0197" w:rsidRDefault="00BE0197" w:rsidP="00BE0197">
            <w:pPr>
              <w:pStyle w:val="nummer"/>
            </w:pPr>
            <w:r>
              <w:t xml:space="preserve">2)   </w:t>
            </w:r>
            <w:proofErr w:type="spellStart"/>
            <w:r>
              <w:t>kapitalfelagið</w:t>
            </w:r>
            <w:proofErr w:type="spellEnd"/>
            <w:r>
              <w:t xml:space="preserve"> </w:t>
            </w:r>
            <w:proofErr w:type="spellStart"/>
            <w:r>
              <w:t>ikki</w:t>
            </w:r>
            <w:proofErr w:type="spellEnd"/>
            <w:r>
              <w:t xml:space="preserve"> </w:t>
            </w:r>
            <w:proofErr w:type="spellStart"/>
            <w:r>
              <w:t>hevur</w:t>
            </w:r>
            <w:proofErr w:type="spellEnd"/>
            <w:r>
              <w:t xml:space="preserve"> ta </w:t>
            </w:r>
            <w:proofErr w:type="spellStart"/>
            <w:r>
              <w:t>leiðslu</w:t>
            </w:r>
            <w:proofErr w:type="spellEnd"/>
            <w:r>
              <w:t xml:space="preserve"> </w:t>
            </w:r>
            <w:proofErr w:type="spellStart"/>
            <w:r>
              <w:t>ella</w:t>
            </w:r>
            <w:proofErr w:type="spellEnd"/>
            <w:r>
              <w:t xml:space="preserve"> </w:t>
            </w:r>
            <w:proofErr w:type="spellStart"/>
            <w:r>
              <w:t>tann</w:t>
            </w:r>
            <w:proofErr w:type="spellEnd"/>
            <w:r>
              <w:t xml:space="preserve"> </w:t>
            </w:r>
            <w:proofErr w:type="spellStart"/>
            <w:r>
              <w:t>heimstað</w:t>
            </w:r>
            <w:proofErr w:type="spellEnd"/>
            <w:r>
              <w:t xml:space="preserve">, </w:t>
            </w:r>
            <w:proofErr w:type="spellStart"/>
            <w:r>
              <w:t>ið</w:t>
            </w:r>
            <w:proofErr w:type="spellEnd"/>
            <w:r>
              <w:t xml:space="preserve"> </w:t>
            </w:r>
            <w:proofErr w:type="spellStart"/>
            <w:r>
              <w:t>eru</w:t>
            </w:r>
            <w:proofErr w:type="spellEnd"/>
            <w:r>
              <w:t xml:space="preserve"> </w:t>
            </w:r>
            <w:proofErr w:type="spellStart"/>
            <w:r>
              <w:t>fyriskrivað</w:t>
            </w:r>
            <w:proofErr w:type="spellEnd"/>
            <w:r>
              <w:t xml:space="preserve"> í </w:t>
            </w:r>
            <w:proofErr w:type="spellStart"/>
            <w:r>
              <w:t>lógini</w:t>
            </w:r>
            <w:proofErr w:type="spellEnd"/>
            <w:r>
              <w:t xml:space="preserve"> </w:t>
            </w:r>
            <w:proofErr w:type="spellStart"/>
            <w:r>
              <w:t>ella</w:t>
            </w:r>
            <w:proofErr w:type="spellEnd"/>
            <w:r>
              <w:t xml:space="preserve"> í </w:t>
            </w:r>
            <w:proofErr w:type="spellStart"/>
            <w:r>
              <w:t>viðtøkum</w:t>
            </w:r>
            <w:proofErr w:type="spellEnd"/>
            <w:r>
              <w:t xml:space="preserve"> </w:t>
            </w:r>
            <w:proofErr w:type="spellStart"/>
            <w:r>
              <w:t>felagsins</w:t>
            </w:r>
            <w:proofErr w:type="spellEnd"/>
            <w:r>
              <w:t xml:space="preserve">, </w:t>
            </w:r>
          </w:p>
          <w:p w14:paraId="7882B7EB" w14:textId="77777777" w:rsidR="00BE0197" w:rsidRDefault="00BE0197" w:rsidP="00BE0197">
            <w:pPr>
              <w:pStyle w:val="nummer"/>
            </w:pPr>
            <w:r>
              <w:t xml:space="preserve">3)   </w:t>
            </w:r>
            <w:proofErr w:type="spellStart"/>
            <w:r>
              <w:t>kapitalfelagið</w:t>
            </w:r>
            <w:proofErr w:type="spellEnd"/>
            <w:r>
              <w:t xml:space="preserve"> </w:t>
            </w:r>
            <w:proofErr w:type="spellStart"/>
            <w:r>
              <w:t>ikki</w:t>
            </w:r>
            <w:proofErr w:type="spellEnd"/>
            <w:r>
              <w:t xml:space="preserve"> </w:t>
            </w:r>
            <w:proofErr w:type="spellStart"/>
            <w:r>
              <w:t>hevur</w:t>
            </w:r>
            <w:proofErr w:type="spellEnd"/>
            <w:r>
              <w:t xml:space="preserve"> </w:t>
            </w:r>
            <w:proofErr w:type="spellStart"/>
            <w:r>
              <w:t>fráboðað</w:t>
            </w:r>
            <w:proofErr w:type="spellEnd"/>
            <w:r>
              <w:t xml:space="preserve"> </w:t>
            </w:r>
            <w:proofErr w:type="spellStart"/>
            <w:r>
              <w:t>ein</w:t>
            </w:r>
            <w:proofErr w:type="spellEnd"/>
            <w:r>
              <w:t xml:space="preserve"> </w:t>
            </w:r>
            <w:proofErr w:type="spellStart"/>
            <w:r>
              <w:t>grannskoðara</w:t>
            </w:r>
            <w:proofErr w:type="spellEnd"/>
            <w:r>
              <w:t xml:space="preserve">, </w:t>
            </w:r>
            <w:proofErr w:type="spellStart"/>
            <w:r>
              <w:t>hóast</w:t>
            </w:r>
            <w:proofErr w:type="spellEnd"/>
            <w:r>
              <w:t xml:space="preserve"> </w:t>
            </w:r>
            <w:proofErr w:type="spellStart"/>
            <w:r>
              <w:t>tað</w:t>
            </w:r>
            <w:proofErr w:type="spellEnd"/>
            <w:r>
              <w:t xml:space="preserve"> er </w:t>
            </w:r>
            <w:proofErr w:type="spellStart"/>
            <w:r>
              <w:t>fevnt</w:t>
            </w:r>
            <w:proofErr w:type="spellEnd"/>
            <w:r>
              <w:t xml:space="preserve"> av </w:t>
            </w:r>
            <w:proofErr w:type="spellStart"/>
            <w:r>
              <w:t>grannskoðanarskyldu</w:t>
            </w:r>
            <w:proofErr w:type="spellEnd"/>
            <w:r>
              <w:t xml:space="preserve"> </w:t>
            </w:r>
            <w:proofErr w:type="spellStart"/>
            <w:r>
              <w:t>eftir</w:t>
            </w:r>
            <w:proofErr w:type="spellEnd"/>
            <w:r>
              <w:t xml:space="preserve"> </w:t>
            </w:r>
            <w:proofErr w:type="spellStart"/>
            <w:r>
              <w:t>ársroknskaparlógini</w:t>
            </w:r>
            <w:proofErr w:type="spellEnd"/>
            <w:r>
              <w:t xml:space="preserve"> </w:t>
            </w:r>
            <w:proofErr w:type="spellStart"/>
            <w:r>
              <w:t>ella</w:t>
            </w:r>
            <w:proofErr w:type="spellEnd"/>
            <w:r>
              <w:t xml:space="preserve"> </w:t>
            </w:r>
            <w:proofErr w:type="spellStart"/>
            <w:r>
              <w:t>aðari</w:t>
            </w:r>
            <w:proofErr w:type="spellEnd"/>
            <w:r>
              <w:t xml:space="preserve"> </w:t>
            </w:r>
            <w:proofErr w:type="spellStart"/>
            <w:r>
              <w:t>lóggávu</w:t>
            </w:r>
            <w:proofErr w:type="spellEnd"/>
            <w:r>
              <w:t xml:space="preserve">, </w:t>
            </w:r>
          </w:p>
          <w:p w14:paraId="49D6A22A" w14:textId="77777777" w:rsidR="00BE0197" w:rsidRDefault="00BE0197" w:rsidP="00BE0197">
            <w:pPr>
              <w:pStyle w:val="nummer"/>
            </w:pPr>
            <w:r>
              <w:t xml:space="preserve">4)   </w:t>
            </w:r>
            <w:proofErr w:type="spellStart"/>
            <w:r>
              <w:t>kapitalfelagið</w:t>
            </w:r>
            <w:proofErr w:type="spellEnd"/>
            <w:r>
              <w:t xml:space="preserve"> </w:t>
            </w:r>
            <w:proofErr w:type="spellStart"/>
            <w:r>
              <w:t>ikki</w:t>
            </w:r>
            <w:proofErr w:type="spellEnd"/>
            <w:r>
              <w:t xml:space="preserve"> </w:t>
            </w:r>
            <w:proofErr w:type="spellStart"/>
            <w:r>
              <w:t>hevur</w:t>
            </w:r>
            <w:proofErr w:type="spellEnd"/>
            <w:r>
              <w:t xml:space="preserve"> </w:t>
            </w:r>
            <w:proofErr w:type="spellStart"/>
            <w:r>
              <w:t>fráboðað</w:t>
            </w:r>
            <w:proofErr w:type="spellEnd"/>
            <w:r>
              <w:t xml:space="preserve"> </w:t>
            </w:r>
            <w:proofErr w:type="spellStart"/>
            <w:r>
              <w:t>ein</w:t>
            </w:r>
            <w:proofErr w:type="spellEnd"/>
            <w:r>
              <w:t xml:space="preserve"> </w:t>
            </w:r>
            <w:proofErr w:type="spellStart"/>
            <w:r>
              <w:t>grannskoðara</w:t>
            </w:r>
            <w:proofErr w:type="spellEnd"/>
            <w:r>
              <w:t xml:space="preserve">, </w:t>
            </w:r>
            <w:proofErr w:type="spellStart"/>
            <w:r>
              <w:t>hóast</w:t>
            </w:r>
            <w:proofErr w:type="spellEnd"/>
            <w:r>
              <w:t xml:space="preserve"> </w:t>
            </w:r>
            <w:proofErr w:type="spellStart"/>
            <w:r>
              <w:t>aðalfundurin</w:t>
            </w:r>
            <w:proofErr w:type="spellEnd"/>
            <w:r>
              <w:t xml:space="preserve"> </w:t>
            </w:r>
            <w:proofErr w:type="spellStart"/>
            <w:r>
              <w:t>annars</w:t>
            </w:r>
            <w:proofErr w:type="spellEnd"/>
            <w:r>
              <w:t xml:space="preserve"> </w:t>
            </w:r>
            <w:proofErr w:type="spellStart"/>
            <w:r>
              <w:t>hevur</w:t>
            </w:r>
            <w:proofErr w:type="spellEnd"/>
            <w:r>
              <w:t xml:space="preserve"> </w:t>
            </w:r>
            <w:proofErr w:type="spellStart"/>
            <w:r>
              <w:t>avgjørt</w:t>
            </w:r>
            <w:proofErr w:type="spellEnd"/>
            <w:r>
              <w:t xml:space="preserve">, at </w:t>
            </w:r>
            <w:proofErr w:type="spellStart"/>
            <w:r>
              <w:t>ársfrásøgn</w:t>
            </w:r>
            <w:proofErr w:type="spellEnd"/>
            <w:r>
              <w:t xml:space="preserve"> </w:t>
            </w:r>
            <w:proofErr w:type="spellStart"/>
            <w:r>
              <w:t>felagsins</w:t>
            </w:r>
            <w:proofErr w:type="spellEnd"/>
            <w:r>
              <w:t xml:space="preserve"> skal </w:t>
            </w:r>
            <w:proofErr w:type="spellStart"/>
            <w:r>
              <w:t>verða</w:t>
            </w:r>
            <w:proofErr w:type="spellEnd"/>
            <w:r>
              <w:t xml:space="preserve"> </w:t>
            </w:r>
            <w:proofErr w:type="spellStart"/>
            <w:r>
              <w:t>grannskoðað</w:t>
            </w:r>
            <w:proofErr w:type="spellEnd"/>
            <w:r>
              <w:t xml:space="preserve">, </w:t>
            </w:r>
          </w:p>
          <w:p w14:paraId="4A17FF65" w14:textId="77777777" w:rsidR="00BE0197" w:rsidRDefault="00BE0197" w:rsidP="00BE0197">
            <w:pPr>
              <w:pStyle w:val="nummer"/>
            </w:pPr>
            <w:r>
              <w:t xml:space="preserve">5)   </w:t>
            </w:r>
            <w:proofErr w:type="spellStart"/>
            <w:r>
              <w:t>leiðsla</w:t>
            </w:r>
            <w:proofErr w:type="spellEnd"/>
            <w:r>
              <w:t xml:space="preserve"> </w:t>
            </w:r>
            <w:proofErr w:type="spellStart"/>
            <w:r>
              <w:t>felagsins</w:t>
            </w:r>
            <w:proofErr w:type="spellEnd"/>
            <w:r>
              <w:t xml:space="preserve"> </w:t>
            </w:r>
            <w:proofErr w:type="spellStart"/>
            <w:r>
              <w:t>eingi</w:t>
            </w:r>
            <w:proofErr w:type="spellEnd"/>
            <w:r>
              <w:t xml:space="preserve"> stig </w:t>
            </w:r>
            <w:proofErr w:type="spellStart"/>
            <w:r>
              <w:t>hevur</w:t>
            </w:r>
            <w:proofErr w:type="spellEnd"/>
            <w:r>
              <w:t xml:space="preserve"> </w:t>
            </w:r>
            <w:proofErr w:type="spellStart"/>
            <w:r>
              <w:t>tikið</w:t>
            </w:r>
            <w:proofErr w:type="spellEnd"/>
            <w:r>
              <w:t xml:space="preserve"> </w:t>
            </w:r>
            <w:proofErr w:type="spellStart"/>
            <w:r>
              <w:t>viðvíkjandi</w:t>
            </w:r>
            <w:proofErr w:type="spellEnd"/>
            <w:r>
              <w:t xml:space="preserve"> </w:t>
            </w:r>
            <w:proofErr w:type="spellStart"/>
            <w:r>
              <w:t>krøvum</w:t>
            </w:r>
            <w:proofErr w:type="spellEnd"/>
            <w:r>
              <w:t xml:space="preserve"> </w:t>
            </w:r>
            <w:proofErr w:type="spellStart"/>
            <w:r>
              <w:t>felagsins</w:t>
            </w:r>
            <w:proofErr w:type="spellEnd"/>
            <w:r>
              <w:t xml:space="preserve"> </w:t>
            </w:r>
            <w:proofErr w:type="spellStart"/>
            <w:r>
              <w:t>upp</w:t>
            </w:r>
            <w:proofErr w:type="spellEnd"/>
            <w:r>
              <w:t xml:space="preserve"> á </w:t>
            </w:r>
            <w:proofErr w:type="spellStart"/>
            <w:r>
              <w:t>innkallaðan</w:t>
            </w:r>
            <w:proofErr w:type="spellEnd"/>
            <w:r>
              <w:t xml:space="preserve"> </w:t>
            </w:r>
            <w:proofErr w:type="spellStart"/>
            <w:r>
              <w:t>felagskapital</w:t>
            </w:r>
            <w:proofErr w:type="spellEnd"/>
            <w:r>
              <w:t xml:space="preserve">, </w:t>
            </w:r>
            <w:proofErr w:type="spellStart"/>
            <w:r>
              <w:t>ið</w:t>
            </w:r>
            <w:proofErr w:type="spellEnd"/>
            <w:r>
              <w:t xml:space="preserve"> </w:t>
            </w:r>
            <w:proofErr w:type="spellStart"/>
            <w:r>
              <w:t>hava</w:t>
            </w:r>
            <w:proofErr w:type="spellEnd"/>
            <w:r>
              <w:t xml:space="preserve"> </w:t>
            </w:r>
            <w:proofErr w:type="spellStart"/>
            <w:r>
              <w:t>víst</w:t>
            </w:r>
            <w:proofErr w:type="spellEnd"/>
            <w:r>
              <w:t xml:space="preserve"> </w:t>
            </w:r>
            <w:proofErr w:type="spellStart"/>
            <w:r>
              <w:t>seg</w:t>
            </w:r>
            <w:proofErr w:type="spellEnd"/>
            <w:r>
              <w:t xml:space="preserve"> </w:t>
            </w:r>
            <w:proofErr w:type="spellStart"/>
            <w:r>
              <w:t>ikki</w:t>
            </w:r>
            <w:proofErr w:type="spellEnd"/>
            <w:r>
              <w:t xml:space="preserve"> at </w:t>
            </w:r>
            <w:proofErr w:type="spellStart"/>
            <w:r>
              <w:t>kunna</w:t>
            </w:r>
            <w:proofErr w:type="spellEnd"/>
            <w:r>
              <w:t xml:space="preserve"> </w:t>
            </w:r>
            <w:proofErr w:type="spellStart"/>
            <w:r>
              <w:t>lúkast</w:t>
            </w:r>
            <w:proofErr w:type="spellEnd"/>
            <w:r>
              <w:t xml:space="preserve">. </w:t>
            </w:r>
          </w:p>
          <w:p w14:paraId="3DD2AF63" w14:textId="77777777" w:rsidR="009B5EDE" w:rsidRPr="00BE0197" w:rsidRDefault="009B5EDE" w:rsidP="00FF07E2">
            <w:pPr>
              <w:rPr>
                <w:lang w:val="da-DK"/>
              </w:rPr>
            </w:pPr>
          </w:p>
        </w:tc>
        <w:tc>
          <w:tcPr>
            <w:tcW w:w="4508" w:type="dxa"/>
          </w:tcPr>
          <w:p w14:paraId="265EEE6A" w14:textId="351D2DE8" w:rsidR="00784FD7" w:rsidRDefault="00784FD7" w:rsidP="00784FD7">
            <w:pPr>
              <w:pStyle w:val="Listeafsnit"/>
              <w:numPr>
                <w:ilvl w:val="0"/>
                <w:numId w:val="3"/>
              </w:numPr>
            </w:pPr>
            <w:r>
              <w:t xml:space="preserve">Í § 225 verða sum nýggj nummur sett: </w:t>
            </w:r>
          </w:p>
          <w:p w14:paraId="3B76FB51" w14:textId="77777777" w:rsidR="00BE0197" w:rsidRDefault="00BE0197" w:rsidP="00BE0197">
            <w:pPr>
              <w:pStyle w:val="Listeafsnit"/>
              <w:ind w:left="643"/>
            </w:pPr>
          </w:p>
          <w:p w14:paraId="22ED13B4" w14:textId="77777777" w:rsidR="00784FD7" w:rsidRDefault="00784FD7" w:rsidP="00784FD7"/>
          <w:p w14:paraId="7C19A6E5" w14:textId="26F0DC1A" w:rsidR="00784FD7" w:rsidRPr="00497580" w:rsidRDefault="00784FD7" w:rsidP="00497580">
            <w:pPr>
              <w:rPr>
                <w:color w:val="000000"/>
                <w:shd w:val="clear" w:color="auto" w:fill="FFFFFF"/>
              </w:rPr>
            </w:pPr>
            <w:r>
              <w:t xml:space="preserve">“3) </w:t>
            </w:r>
            <w:proofErr w:type="spellStart"/>
            <w:r w:rsidRPr="00497580">
              <w:rPr>
                <w:color w:val="000000"/>
                <w:shd w:val="clear" w:color="auto" w:fill="FFFFFF"/>
              </w:rPr>
              <w:t>kapitalfelagið</w:t>
            </w:r>
            <w:proofErr w:type="spellEnd"/>
            <w:r w:rsidRPr="00497580">
              <w:rPr>
                <w:color w:val="000000"/>
                <w:shd w:val="clear" w:color="auto" w:fill="FFFFFF"/>
              </w:rPr>
              <w:t xml:space="preserve"> ikki hevur </w:t>
            </w:r>
            <w:bookmarkStart w:id="2" w:name="_Hlk143510503"/>
            <w:r w:rsidRPr="00497580">
              <w:rPr>
                <w:color w:val="000000"/>
                <w:shd w:val="clear" w:color="auto" w:fill="FFFFFF"/>
              </w:rPr>
              <w:t xml:space="preserve">skrásett upplýsingar í </w:t>
            </w:r>
            <w:proofErr w:type="spellStart"/>
            <w:r w:rsidRPr="00497580">
              <w:rPr>
                <w:color w:val="000000"/>
                <w:shd w:val="clear" w:color="auto" w:fill="FFFFFF"/>
              </w:rPr>
              <w:t>kt-skipan</w:t>
            </w:r>
            <w:proofErr w:type="spellEnd"/>
            <w:r w:rsidRPr="00497580">
              <w:rPr>
                <w:color w:val="000000"/>
                <w:shd w:val="clear" w:color="auto" w:fill="FFFFFF"/>
              </w:rPr>
              <w:t xml:space="preserve"> Skráseting Føroya, sbrt. § 58,</w:t>
            </w:r>
            <w:bookmarkEnd w:id="2"/>
          </w:p>
          <w:p w14:paraId="0138891F" w14:textId="77777777" w:rsidR="00BE0197" w:rsidRPr="005A4C8F" w:rsidRDefault="00BE0197" w:rsidP="00784FD7">
            <w:pPr>
              <w:pStyle w:val="Listeafsnit"/>
              <w:ind w:left="643"/>
              <w:rPr>
                <w:color w:val="000000"/>
                <w:shd w:val="clear" w:color="auto" w:fill="FFFFFF"/>
              </w:rPr>
            </w:pPr>
          </w:p>
          <w:p w14:paraId="7F249C78" w14:textId="261366E4" w:rsidR="00784FD7" w:rsidRPr="00497580" w:rsidRDefault="00784FD7" w:rsidP="00497580">
            <w:pPr>
              <w:rPr>
                <w:rFonts w:eastAsia="Times New Roman"/>
              </w:rPr>
            </w:pPr>
            <w:r w:rsidRPr="00497580">
              <w:rPr>
                <w:rFonts w:eastAsia="Times New Roman"/>
              </w:rPr>
              <w:t xml:space="preserve">4) </w:t>
            </w:r>
            <w:proofErr w:type="spellStart"/>
            <w:r w:rsidRPr="00497580">
              <w:rPr>
                <w:rFonts w:eastAsia="Times New Roman"/>
              </w:rPr>
              <w:t>kapitalfelagið</w:t>
            </w:r>
            <w:proofErr w:type="spellEnd"/>
            <w:r w:rsidRPr="00497580">
              <w:rPr>
                <w:rFonts w:eastAsia="Times New Roman"/>
              </w:rPr>
              <w:t xml:space="preserve"> ikki hevur </w:t>
            </w:r>
            <w:bookmarkStart w:id="3" w:name="_Hlk143510567"/>
            <w:r w:rsidRPr="00497580">
              <w:rPr>
                <w:rFonts w:eastAsia="Times New Roman"/>
              </w:rPr>
              <w:t xml:space="preserve">skrásett upplýsingar um veruligu eigarar felagsins, ella felagið hevur skrásett ófullkomnar upplýsingar, sbrt. § 58 </w:t>
            </w:r>
            <w:bookmarkEnd w:id="3"/>
            <w:r w:rsidRPr="00497580">
              <w:rPr>
                <w:rFonts w:eastAsia="Times New Roman"/>
              </w:rPr>
              <w:t>a,</w:t>
            </w:r>
          </w:p>
          <w:p w14:paraId="515EFE5C" w14:textId="77777777" w:rsidR="00BE0197" w:rsidRPr="005A4C8F" w:rsidRDefault="00BE0197" w:rsidP="00784FD7">
            <w:pPr>
              <w:pStyle w:val="Listeafsnit"/>
              <w:ind w:left="643"/>
              <w:rPr>
                <w:rFonts w:eastAsia="Times New Roman"/>
              </w:rPr>
            </w:pPr>
          </w:p>
          <w:p w14:paraId="23EBBF37" w14:textId="77777777" w:rsidR="00BE0197" w:rsidRPr="00497580" w:rsidRDefault="00784FD7" w:rsidP="00497580">
            <w:pPr>
              <w:rPr>
                <w:rFonts w:eastAsia="Times New Roman"/>
              </w:rPr>
            </w:pPr>
            <w:r w:rsidRPr="00497580">
              <w:rPr>
                <w:rFonts w:eastAsia="Times New Roman"/>
              </w:rPr>
              <w:t xml:space="preserve">5) </w:t>
            </w:r>
            <w:bookmarkStart w:id="4" w:name="_Hlk143510853"/>
            <w:proofErr w:type="spellStart"/>
            <w:r w:rsidRPr="00497580">
              <w:rPr>
                <w:rFonts w:eastAsia="Times New Roman"/>
              </w:rPr>
              <w:t>kapitalfelagið</w:t>
            </w:r>
            <w:proofErr w:type="spellEnd"/>
            <w:r w:rsidRPr="00497580">
              <w:rPr>
                <w:rFonts w:eastAsia="Times New Roman"/>
              </w:rPr>
              <w:t xml:space="preserve"> ikki hevur goymt </w:t>
            </w:r>
          </w:p>
          <w:p w14:paraId="3A939C68" w14:textId="6ED2B161" w:rsidR="00784FD7" w:rsidRPr="00497580" w:rsidRDefault="00784FD7" w:rsidP="00497580">
            <w:pPr>
              <w:rPr>
                <w:rFonts w:eastAsia="Times New Roman"/>
              </w:rPr>
            </w:pPr>
            <w:r w:rsidRPr="00497580">
              <w:rPr>
                <w:rFonts w:eastAsia="Times New Roman"/>
              </w:rPr>
              <w:t>skjalprógv um upplýsingarnar um veruligu eigarar felagsins ella felagið hevur goymt ófullkomið skjalprógv, sbrt. § 58a,”</w:t>
            </w:r>
            <w:bookmarkEnd w:id="4"/>
          </w:p>
          <w:p w14:paraId="4BE42283" w14:textId="77777777" w:rsidR="00784FD7" w:rsidRDefault="00784FD7" w:rsidP="00784FD7">
            <w:pPr>
              <w:pStyle w:val="Listeafsnit"/>
              <w:ind w:left="643"/>
              <w:rPr>
                <w:rFonts w:eastAsia="Times New Roman"/>
              </w:rPr>
            </w:pPr>
          </w:p>
          <w:p w14:paraId="0A0CE88A" w14:textId="77777777" w:rsidR="00784FD7" w:rsidRPr="00497580" w:rsidRDefault="00784FD7" w:rsidP="00497580">
            <w:pPr>
              <w:rPr>
                <w:rFonts w:eastAsia="Times New Roman"/>
              </w:rPr>
            </w:pPr>
            <w:r w:rsidRPr="00497580">
              <w:rPr>
                <w:rFonts w:eastAsia="Times New Roman"/>
              </w:rPr>
              <w:t xml:space="preserve">Nr. 3, 4 og 5 verða síðani nr. 6, 7 og 8. </w:t>
            </w:r>
          </w:p>
          <w:p w14:paraId="569F3996" w14:textId="77777777" w:rsidR="009B5EDE" w:rsidRDefault="009B5EDE" w:rsidP="00FF07E2"/>
        </w:tc>
      </w:tr>
      <w:tr w:rsidR="009B5EDE" w14:paraId="4DB3407E" w14:textId="77777777" w:rsidTr="009B5EDE">
        <w:tc>
          <w:tcPr>
            <w:tcW w:w="4508" w:type="dxa"/>
          </w:tcPr>
          <w:p w14:paraId="4F0F3610" w14:textId="1FE21260" w:rsidR="009B5EDE" w:rsidRDefault="009B5EDE" w:rsidP="00FF07E2"/>
        </w:tc>
        <w:tc>
          <w:tcPr>
            <w:tcW w:w="4508" w:type="dxa"/>
          </w:tcPr>
          <w:p w14:paraId="1665A885" w14:textId="77777777" w:rsidR="00784FD7" w:rsidRDefault="00784FD7" w:rsidP="00784FD7">
            <w:pPr>
              <w:pStyle w:val="Listeafsnit"/>
              <w:numPr>
                <w:ilvl w:val="0"/>
                <w:numId w:val="3"/>
              </w:numPr>
              <w:rPr>
                <w:rFonts w:eastAsia="Times New Roman"/>
              </w:rPr>
            </w:pPr>
            <w:r>
              <w:rPr>
                <w:rFonts w:eastAsia="Times New Roman"/>
              </w:rPr>
              <w:t xml:space="preserve">Í § 225 verður sum nýtt nummar sett: </w:t>
            </w:r>
          </w:p>
          <w:p w14:paraId="54FEA66B" w14:textId="77777777" w:rsidR="00784FD7" w:rsidRDefault="00784FD7" w:rsidP="00784FD7">
            <w:pPr>
              <w:pStyle w:val="Listeafsnit"/>
              <w:ind w:left="643"/>
            </w:pPr>
            <w:bookmarkStart w:id="5" w:name="_Hlk129702034"/>
          </w:p>
          <w:p w14:paraId="4843483D" w14:textId="05280599" w:rsidR="00784FD7" w:rsidRDefault="00784FD7" w:rsidP="00286024">
            <w:r>
              <w:t>“9)</w:t>
            </w:r>
            <w:r w:rsidRPr="00D97B1E">
              <w:t xml:space="preserve"> </w:t>
            </w:r>
            <w:bookmarkStart w:id="6" w:name="_Hlk143510864"/>
            <w:r w:rsidRPr="00D97B1E">
              <w:t xml:space="preserve">um Skráseting Føroya ikki rættstundis hevur móttikið árligt gjald frá </w:t>
            </w:r>
            <w:proofErr w:type="spellStart"/>
            <w:r w:rsidRPr="00D97B1E">
              <w:t>kapitalfelagnum</w:t>
            </w:r>
            <w:proofErr w:type="spellEnd"/>
            <w:r w:rsidRPr="00D97B1E">
              <w:t xml:space="preserve"> fyri umsiting av </w:t>
            </w:r>
            <w:r>
              <w:t xml:space="preserve">reglunum í </w:t>
            </w:r>
            <w:proofErr w:type="spellStart"/>
            <w:r>
              <w:lastRenderedPageBreak/>
              <w:t>vinnufelag</w:t>
            </w:r>
            <w:r w:rsidR="00DB2945">
              <w:t>a</w:t>
            </w:r>
            <w:r>
              <w:t>lógini</w:t>
            </w:r>
            <w:proofErr w:type="spellEnd"/>
            <w:r>
              <w:t xml:space="preserve"> og teimum reglum, sum ásettar eru við heimild í </w:t>
            </w:r>
            <w:proofErr w:type="spellStart"/>
            <w:r>
              <w:t>vinnufelag</w:t>
            </w:r>
            <w:r w:rsidR="00DB2945">
              <w:t>a</w:t>
            </w:r>
            <w:r>
              <w:t>lógini</w:t>
            </w:r>
            <w:proofErr w:type="spellEnd"/>
            <w:r w:rsidRPr="00D97B1E">
              <w:t>.”</w:t>
            </w:r>
            <w:bookmarkEnd w:id="5"/>
          </w:p>
          <w:bookmarkEnd w:id="6"/>
          <w:p w14:paraId="1599F0B0" w14:textId="77777777" w:rsidR="009B5EDE" w:rsidRDefault="009B5EDE" w:rsidP="00784FD7">
            <w:pPr>
              <w:ind w:firstLine="720"/>
            </w:pPr>
          </w:p>
        </w:tc>
      </w:tr>
      <w:tr w:rsidR="009B5EDE" w14:paraId="6F1624E9" w14:textId="77777777" w:rsidTr="009B5EDE">
        <w:tc>
          <w:tcPr>
            <w:tcW w:w="4508" w:type="dxa"/>
          </w:tcPr>
          <w:p w14:paraId="70BDF039" w14:textId="7BCE39A7" w:rsidR="009B5EDE" w:rsidRDefault="00BE0197" w:rsidP="00FF07E2">
            <w:r>
              <w:rPr>
                <w:b/>
                <w:bCs/>
              </w:rPr>
              <w:lastRenderedPageBreak/>
              <w:t>§ 240.</w:t>
            </w:r>
            <w:r>
              <w:t xml:space="preserve"> Verður kapitalurin í framhaldandi </w:t>
            </w:r>
            <w:proofErr w:type="spellStart"/>
            <w:r>
              <w:t>kapitalfelagnum</w:t>
            </w:r>
            <w:proofErr w:type="spellEnd"/>
            <w:r>
              <w:t xml:space="preserve"> hækkaður í sambandi við samanleggingina, ella verður skapað eitt nýtt </w:t>
            </w:r>
            <w:proofErr w:type="spellStart"/>
            <w:r>
              <w:t>kapitalfelag</w:t>
            </w:r>
            <w:proofErr w:type="spellEnd"/>
            <w:r>
              <w:t xml:space="preserve"> sum partur av samanleggingini, skal tað sum liður í samanleggingini fáast til vega ein frágreiðing frá einum </w:t>
            </w:r>
            <w:proofErr w:type="spellStart"/>
            <w:r>
              <w:t>metingarfólki</w:t>
            </w:r>
            <w:proofErr w:type="spellEnd"/>
            <w:r>
              <w:t xml:space="preserve">, sbr. tó stk. 2. </w:t>
            </w:r>
            <w:proofErr w:type="spellStart"/>
            <w:r>
              <w:t>Metingarfólkið</w:t>
            </w:r>
            <w:proofErr w:type="spellEnd"/>
            <w:r>
              <w:t xml:space="preserve"> verður tilnevnt eftir § 37, stk. 1. § 37, stk. 2 og 3 vera at nýta samsvarandi fyri viðurskifti </w:t>
            </w:r>
            <w:proofErr w:type="spellStart"/>
            <w:r>
              <w:t>metingarfólksins</w:t>
            </w:r>
            <w:proofErr w:type="spellEnd"/>
            <w:r>
              <w:t xml:space="preserve"> til øll tey samanløgdu feløgini.</w:t>
            </w:r>
          </w:p>
        </w:tc>
        <w:tc>
          <w:tcPr>
            <w:tcW w:w="4508" w:type="dxa"/>
          </w:tcPr>
          <w:p w14:paraId="69398928" w14:textId="77777777" w:rsidR="00784FD7" w:rsidRDefault="00784FD7" w:rsidP="00784FD7">
            <w:pPr>
              <w:pStyle w:val="Listeafsnit"/>
              <w:numPr>
                <w:ilvl w:val="0"/>
                <w:numId w:val="3"/>
              </w:numPr>
            </w:pPr>
            <w:r>
              <w:t xml:space="preserve">§ 240, stk. 1, 1. pkt. verður orðað soleiðis: </w:t>
            </w:r>
          </w:p>
          <w:p w14:paraId="5F4FBEF0" w14:textId="77777777" w:rsidR="00784FD7" w:rsidRDefault="00784FD7" w:rsidP="00784FD7">
            <w:pPr>
              <w:pStyle w:val="Listeafsnit"/>
              <w:ind w:left="643"/>
            </w:pPr>
          </w:p>
          <w:p w14:paraId="115CDD40" w14:textId="77777777" w:rsidR="00784FD7" w:rsidRDefault="00784FD7" w:rsidP="00286024">
            <w:r>
              <w:t>“</w:t>
            </w:r>
            <w:r w:rsidRPr="00286024">
              <w:rPr>
                <w:color w:val="000000"/>
                <w:shd w:val="clear" w:color="auto" w:fill="FFFFFF"/>
              </w:rPr>
              <w:t xml:space="preserve">Verður kapitalurin í framhaldandi partafelagnum hækkaður í sambandi við samanleggingina, ella verður skapað eitt nýtt partafelag sum partur av samanleggingini, skal tað sum liður í samanleggingini fáast til vega ein frágreiðing frá einum </w:t>
            </w:r>
            <w:proofErr w:type="spellStart"/>
            <w:r w:rsidRPr="00286024">
              <w:rPr>
                <w:color w:val="000000"/>
                <w:shd w:val="clear" w:color="auto" w:fill="FFFFFF"/>
              </w:rPr>
              <w:t>metingarfólki</w:t>
            </w:r>
            <w:proofErr w:type="spellEnd"/>
            <w:r w:rsidRPr="00286024">
              <w:rPr>
                <w:color w:val="000000"/>
                <w:shd w:val="clear" w:color="auto" w:fill="FFFFFF"/>
              </w:rPr>
              <w:t>, sbr. tó stk. 2.</w:t>
            </w:r>
            <w:r>
              <w:t>”</w:t>
            </w:r>
          </w:p>
          <w:p w14:paraId="41B59B5D" w14:textId="77777777" w:rsidR="009B5EDE" w:rsidRDefault="009B5EDE" w:rsidP="00FF07E2"/>
        </w:tc>
      </w:tr>
      <w:tr w:rsidR="009B5EDE" w14:paraId="2DA1D7B9" w14:textId="77777777" w:rsidTr="009B5EDE">
        <w:tc>
          <w:tcPr>
            <w:tcW w:w="4508" w:type="dxa"/>
          </w:tcPr>
          <w:p w14:paraId="3F92EE96" w14:textId="4BF8EFFA" w:rsidR="009B5EDE" w:rsidRPr="00BE0197" w:rsidRDefault="00BE0197" w:rsidP="00FF07E2">
            <w:pPr>
              <w:rPr>
                <w:i/>
                <w:iCs/>
              </w:rPr>
            </w:pPr>
            <w:r w:rsidRPr="00BE0197">
              <w:rPr>
                <w:i/>
                <w:iCs/>
              </w:rPr>
              <w:t xml:space="preserve">Um at umskapa </w:t>
            </w:r>
            <w:proofErr w:type="spellStart"/>
            <w:r w:rsidRPr="00BE0197">
              <w:rPr>
                <w:i/>
                <w:iCs/>
              </w:rPr>
              <w:t>partnarafelag</w:t>
            </w:r>
            <w:proofErr w:type="spellEnd"/>
            <w:r w:rsidRPr="00BE0197">
              <w:rPr>
                <w:i/>
                <w:iCs/>
              </w:rPr>
              <w:t xml:space="preserve"> til partafelag</w:t>
            </w:r>
          </w:p>
        </w:tc>
        <w:tc>
          <w:tcPr>
            <w:tcW w:w="4508" w:type="dxa"/>
          </w:tcPr>
          <w:p w14:paraId="400F766E" w14:textId="77777777" w:rsidR="00784FD7" w:rsidRDefault="00784FD7" w:rsidP="00784FD7">
            <w:pPr>
              <w:pStyle w:val="Listeafsnit"/>
              <w:numPr>
                <w:ilvl w:val="0"/>
                <w:numId w:val="3"/>
              </w:numPr>
            </w:pPr>
            <w:r>
              <w:t xml:space="preserve">Í yvirskriftin aftaná § 276 verður orðað soleiðis: </w:t>
            </w:r>
          </w:p>
          <w:p w14:paraId="2C3F21D2" w14:textId="77777777" w:rsidR="00784FD7" w:rsidRDefault="00784FD7" w:rsidP="00784FD7">
            <w:pPr>
              <w:pStyle w:val="Listeafsnit"/>
              <w:ind w:left="643"/>
            </w:pPr>
          </w:p>
          <w:p w14:paraId="0D013030" w14:textId="77777777" w:rsidR="00784FD7" w:rsidRDefault="00784FD7" w:rsidP="00286024">
            <w:r>
              <w:t>“</w:t>
            </w:r>
            <w:r w:rsidRPr="00286024">
              <w:rPr>
                <w:i/>
                <w:iCs/>
              </w:rPr>
              <w:t>Um at umskapa lutafelag til partafelag</w:t>
            </w:r>
            <w:r>
              <w:t>”</w:t>
            </w:r>
          </w:p>
          <w:p w14:paraId="02D7D8B9" w14:textId="77777777" w:rsidR="009B5EDE" w:rsidRDefault="009B5EDE" w:rsidP="00FF07E2"/>
        </w:tc>
      </w:tr>
      <w:tr w:rsidR="009B5EDE" w14:paraId="2E1CB03D" w14:textId="77777777" w:rsidTr="009B5EDE">
        <w:tc>
          <w:tcPr>
            <w:tcW w:w="4508" w:type="dxa"/>
          </w:tcPr>
          <w:p w14:paraId="67F0CD1F" w14:textId="6A7200AE" w:rsidR="00BE0197" w:rsidRPr="00BE0197" w:rsidRDefault="00BE0197" w:rsidP="00BE0197">
            <w:pPr>
              <w:pStyle w:val="paragraftekst"/>
              <w:rPr>
                <w:lang w:val="fo-FO"/>
              </w:rPr>
            </w:pPr>
            <w:r w:rsidRPr="00BE0197">
              <w:rPr>
                <w:b/>
                <w:bCs/>
                <w:lang w:val="fo-FO"/>
              </w:rPr>
              <w:t>§ 278.</w:t>
            </w:r>
            <w:r w:rsidRPr="00BE0197">
              <w:rPr>
                <w:lang w:val="fo-FO"/>
              </w:rPr>
              <w:t xml:space="preserve"> </w:t>
            </w:r>
            <w:r>
              <w:rPr>
                <w:lang w:val="nb-NO"/>
              </w:rPr>
              <w:t xml:space="preserve">Høvuðsleiðslan í lutafeagnum stovnar og undirskrivar í felag eina umskapanarætlan, sbr. tó stk. 2. </w:t>
            </w:r>
          </w:p>
          <w:p w14:paraId="34DD959F" w14:textId="77777777" w:rsidR="009B5EDE" w:rsidRDefault="009B5EDE" w:rsidP="00FF07E2"/>
        </w:tc>
        <w:tc>
          <w:tcPr>
            <w:tcW w:w="4508" w:type="dxa"/>
          </w:tcPr>
          <w:p w14:paraId="2ADAFDE4" w14:textId="77777777" w:rsidR="00784FD7" w:rsidRDefault="00784FD7" w:rsidP="00784FD7">
            <w:pPr>
              <w:pStyle w:val="Listeafsnit"/>
              <w:numPr>
                <w:ilvl w:val="0"/>
                <w:numId w:val="3"/>
              </w:numPr>
            </w:pPr>
            <w:r>
              <w:t>Í § 278, stk. 1 verður “</w:t>
            </w:r>
            <w:proofErr w:type="spellStart"/>
            <w:r>
              <w:t>lutafeagnum</w:t>
            </w:r>
            <w:proofErr w:type="spellEnd"/>
            <w:r>
              <w:t>” broytt til “lutafelagnum”.</w:t>
            </w:r>
          </w:p>
          <w:p w14:paraId="33C1D532" w14:textId="77777777" w:rsidR="009B5EDE" w:rsidRDefault="009B5EDE" w:rsidP="00FF07E2"/>
        </w:tc>
      </w:tr>
      <w:tr w:rsidR="009B5EDE" w14:paraId="3337F8E6" w14:textId="77777777" w:rsidTr="009B5EDE">
        <w:tc>
          <w:tcPr>
            <w:tcW w:w="4508" w:type="dxa"/>
          </w:tcPr>
          <w:p w14:paraId="1DA1DC2B" w14:textId="53DA146C" w:rsidR="009B5EDE" w:rsidRDefault="00BE0197" w:rsidP="00FF07E2">
            <w:r>
              <w:rPr>
                <w:b/>
                <w:bCs/>
                <w:lang w:val="nb-NO"/>
              </w:rPr>
              <w:t xml:space="preserve">§ 278. </w:t>
            </w:r>
            <w:r>
              <w:rPr>
                <w:i/>
                <w:iCs/>
                <w:lang w:val="nb-NO"/>
              </w:rPr>
              <w:t>Stk. 2.</w:t>
            </w:r>
            <w:r>
              <w:rPr>
                <w:lang w:val="nb-NO"/>
              </w:rPr>
              <w:t xml:space="preserve"> Lutaeigararnir kunnu í semju avgera, at ein umskapanarætlan ikki skal gerast, sbr. tó § 335, stk. 2 og 3</w:t>
            </w:r>
          </w:p>
        </w:tc>
        <w:tc>
          <w:tcPr>
            <w:tcW w:w="4508" w:type="dxa"/>
          </w:tcPr>
          <w:p w14:paraId="50F13769" w14:textId="6F23AE29" w:rsidR="00784FD7" w:rsidRDefault="00784FD7" w:rsidP="00784FD7">
            <w:pPr>
              <w:pStyle w:val="Listeafsnit"/>
              <w:numPr>
                <w:ilvl w:val="0"/>
                <w:numId w:val="3"/>
              </w:numPr>
            </w:pPr>
            <w:r>
              <w:tab/>
              <w:t>Í § 278, stk. 2 verður “sbr. tó § 335,</w:t>
            </w:r>
            <w:r w:rsidR="00286024">
              <w:t xml:space="preserve"> </w:t>
            </w:r>
            <w:r>
              <w:t xml:space="preserve">stk. 2 og 3” broytt til “sbr. tó § 287, stk. 2 og 3”. </w:t>
            </w:r>
          </w:p>
          <w:p w14:paraId="65882673" w14:textId="50E79E65" w:rsidR="009B5EDE" w:rsidRDefault="009B5EDE" w:rsidP="00784FD7">
            <w:pPr>
              <w:tabs>
                <w:tab w:val="left" w:pos="978"/>
              </w:tabs>
            </w:pPr>
          </w:p>
        </w:tc>
      </w:tr>
      <w:tr w:rsidR="009B5EDE" w14:paraId="2BFB1746" w14:textId="77777777" w:rsidTr="009B5EDE">
        <w:tc>
          <w:tcPr>
            <w:tcW w:w="4508" w:type="dxa"/>
          </w:tcPr>
          <w:p w14:paraId="05545158" w14:textId="124D543E" w:rsidR="009B5EDE" w:rsidRDefault="00334F92" w:rsidP="00FF07E2">
            <w:r>
              <w:rPr>
                <w:b/>
                <w:bCs/>
              </w:rPr>
              <w:t>§ 279.</w:t>
            </w:r>
            <w:r>
              <w:t xml:space="preserve"> Høvuðsleiðslan í partafelagnum skal gera eina skrivliga frágreiðing, har greitt verður frá og grundgivið fyri </w:t>
            </w:r>
            <w:proofErr w:type="spellStart"/>
            <w:r>
              <w:t>umskapanini</w:t>
            </w:r>
            <w:proofErr w:type="spellEnd"/>
            <w:r>
              <w:t xml:space="preserve">, </w:t>
            </w:r>
            <w:proofErr w:type="spellStart"/>
            <w:r>
              <w:t>heruppií</w:t>
            </w:r>
            <w:proofErr w:type="spellEnd"/>
            <w:r>
              <w:t xml:space="preserve"> eini møguligari </w:t>
            </w:r>
            <w:proofErr w:type="spellStart"/>
            <w:r>
              <w:t>umskapanarætlan</w:t>
            </w:r>
            <w:proofErr w:type="spellEnd"/>
            <w:r>
              <w:t xml:space="preserve">, sbr. tó stk. 2. Frágreiðingin skal innihalda upplýsing um ásetanina av </w:t>
            </w:r>
            <w:proofErr w:type="spellStart"/>
            <w:r>
              <w:t>viðurgjaldinum</w:t>
            </w:r>
            <w:proofErr w:type="spellEnd"/>
            <w:r>
              <w:t xml:space="preserve"> til </w:t>
            </w:r>
            <w:proofErr w:type="spellStart"/>
            <w:r>
              <w:t>lutaeigararnar</w:t>
            </w:r>
            <w:proofErr w:type="spellEnd"/>
            <w:r>
              <w:t xml:space="preserve">, </w:t>
            </w:r>
            <w:proofErr w:type="spellStart"/>
            <w:r>
              <w:t>heruppií</w:t>
            </w:r>
            <w:proofErr w:type="spellEnd"/>
            <w:r>
              <w:t xml:space="preserve"> serligir trupulleikar í sambandi við ásetanina.</w:t>
            </w:r>
          </w:p>
        </w:tc>
        <w:tc>
          <w:tcPr>
            <w:tcW w:w="4508" w:type="dxa"/>
          </w:tcPr>
          <w:p w14:paraId="51D44A6D" w14:textId="5FD884B2" w:rsidR="00BE0197" w:rsidRDefault="00BE0197" w:rsidP="00286024">
            <w:pPr>
              <w:pStyle w:val="Listeafsnit"/>
              <w:numPr>
                <w:ilvl w:val="0"/>
                <w:numId w:val="3"/>
              </w:numPr>
            </w:pPr>
            <w:r>
              <w:t>Í § 279, stk. 1, 1 pkt. verður “Høvuðsleiðslan í partafelagnum” broytt til “Høvuðsleiðslan í lutafelagnum”</w:t>
            </w:r>
          </w:p>
          <w:p w14:paraId="0EC162E1" w14:textId="77777777" w:rsidR="009B5EDE" w:rsidRDefault="009B5EDE" w:rsidP="00FF07E2"/>
        </w:tc>
      </w:tr>
      <w:tr w:rsidR="009B5EDE" w14:paraId="4953CE8A" w14:textId="77777777" w:rsidTr="009B5EDE">
        <w:tc>
          <w:tcPr>
            <w:tcW w:w="4508" w:type="dxa"/>
          </w:tcPr>
          <w:p w14:paraId="5AB8A17C" w14:textId="048A21E1" w:rsidR="009B5EDE" w:rsidRDefault="00334F92" w:rsidP="00FF07E2">
            <w:r w:rsidRPr="00334F92">
              <w:rPr>
                <w:b/>
                <w:bCs/>
              </w:rPr>
              <w:t>§ 286.</w:t>
            </w:r>
            <w:r>
              <w:t xml:space="preserve"> </w:t>
            </w:r>
            <w:r>
              <w:rPr>
                <w:i/>
                <w:iCs/>
              </w:rPr>
              <w:t xml:space="preserve">Stk. 6. </w:t>
            </w:r>
            <w:r>
              <w:t xml:space="preserve">Hesi skjøl skulu, um tey eru gjørd, vera tøk hjá </w:t>
            </w:r>
            <w:proofErr w:type="spellStart"/>
            <w:r>
              <w:t>smápartaeigarunum</w:t>
            </w:r>
            <w:proofErr w:type="spellEnd"/>
            <w:r>
              <w:t xml:space="preserve"> á heimstaði felagsins ella á heimasíðu felagsins í seinasta lagi 4 vikur undan, at avgerð um at fremja eina umskapan skal takast uttan so, at </w:t>
            </w:r>
            <w:proofErr w:type="spellStart"/>
            <w:r>
              <w:t>smápartaeigararnir</w:t>
            </w:r>
            <w:proofErr w:type="spellEnd"/>
            <w:r>
              <w:t xml:space="preserve"> í semju avgera, at skjølini ikki skulu leggjast fyri </w:t>
            </w:r>
            <w:proofErr w:type="spellStart"/>
            <w:r>
              <w:t>smápartaeigararnar</w:t>
            </w:r>
            <w:proofErr w:type="spellEnd"/>
            <w:r>
              <w:t xml:space="preserve"> undan aðalfundinum ella á aðalfundinum, sbr. tó stk. 7:</w:t>
            </w:r>
          </w:p>
        </w:tc>
        <w:tc>
          <w:tcPr>
            <w:tcW w:w="4508" w:type="dxa"/>
          </w:tcPr>
          <w:p w14:paraId="1488EBAC" w14:textId="77777777" w:rsidR="00BE0197" w:rsidRDefault="00BE0197" w:rsidP="00BE0197">
            <w:pPr>
              <w:pStyle w:val="Listeafsnit"/>
              <w:numPr>
                <w:ilvl w:val="0"/>
                <w:numId w:val="3"/>
              </w:numPr>
            </w:pPr>
            <w:r>
              <w:t xml:space="preserve">§ 286. Stk. 6, 1. pkt. verður orðað soleiðis: </w:t>
            </w:r>
          </w:p>
          <w:p w14:paraId="63C5D344" w14:textId="77777777" w:rsidR="00BE0197" w:rsidRDefault="00BE0197" w:rsidP="00BE0197">
            <w:pPr>
              <w:pStyle w:val="Listeafsnit"/>
            </w:pPr>
          </w:p>
          <w:p w14:paraId="3746B0DE" w14:textId="77777777" w:rsidR="00BE0197" w:rsidRDefault="00BE0197" w:rsidP="001D2CF3">
            <w:r>
              <w:t xml:space="preserve">“Hesi skjøl skulu, um tey eru gjørd, vera tøk hjá </w:t>
            </w:r>
            <w:proofErr w:type="spellStart"/>
            <w:r>
              <w:t>lutaeigarunum</w:t>
            </w:r>
            <w:proofErr w:type="spellEnd"/>
            <w:r>
              <w:t xml:space="preserve"> á heimstaði felagsins ella á heimasíðu felagsins í seinasta lagi 4 vikur undan, at avgerð um at fremja eina umskipan skal takast uttan so, at </w:t>
            </w:r>
            <w:proofErr w:type="spellStart"/>
            <w:r>
              <w:t>lutaeigararnir</w:t>
            </w:r>
            <w:proofErr w:type="spellEnd"/>
            <w:r>
              <w:t xml:space="preserve"> í semju avgera, at skjølini ikki skulu leggjast fyri </w:t>
            </w:r>
            <w:proofErr w:type="spellStart"/>
            <w:r>
              <w:t>lutaeigararnar</w:t>
            </w:r>
            <w:proofErr w:type="spellEnd"/>
            <w:r>
              <w:t xml:space="preserve"> undan aðalfundinum ella á aðalfundinum, sbr. tó stk. 7.”</w:t>
            </w:r>
          </w:p>
          <w:p w14:paraId="7817EFB4" w14:textId="77777777" w:rsidR="009B5EDE" w:rsidRDefault="009B5EDE" w:rsidP="00FF07E2"/>
        </w:tc>
      </w:tr>
      <w:tr w:rsidR="009B5EDE" w14:paraId="41F589BB" w14:textId="77777777" w:rsidTr="009B5EDE">
        <w:tc>
          <w:tcPr>
            <w:tcW w:w="4508" w:type="dxa"/>
          </w:tcPr>
          <w:p w14:paraId="2F27719B" w14:textId="577F8B9D" w:rsidR="009B5EDE" w:rsidRDefault="00334F92" w:rsidP="00FF07E2">
            <w:r>
              <w:lastRenderedPageBreak/>
              <w:t xml:space="preserve">2)   Góðkendu </w:t>
            </w:r>
            <w:proofErr w:type="spellStart"/>
            <w:r>
              <w:t>ársfrásagnir</w:t>
            </w:r>
            <w:proofErr w:type="spellEnd"/>
            <w:r>
              <w:t xml:space="preserve"> </w:t>
            </w:r>
            <w:proofErr w:type="spellStart"/>
            <w:r>
              <w:t>smápartafelagsins</w:t>
            </w:r>
            <w:proofErr w:type="spellEnd"/>
            <w:r>
              <w:t xml:space="preserve"> 3 tey seinastu roknskaparárini, ella fyri ta tíð, sum felagið hevur verið til.</w:t>
            </w:r>
          </w:p>
        </w:tc>
        <w:tc>
          <w:tcPr>
            <w:tcW w:w="4508" w:type="dxa"/>
          </w:tcPr>
          <w:p w14:paraId="5FCD1846" w14:textId="77777777" w:rsidR="00BE0197" w:rsidRDefault="00BE0197" w:rsidP="00BE0197">
            <w:pPr>
              <w:pStyle w:val="Listeafsnit"/>
              <w:numPr>
                <w:ilvl w:val="0"/>
                <w:numId w:val="3"/>
              </w:numPr>
            </w:pPr>
            <w:r>
              <w:t>Í § 286, stk. 6, nr. 2 verður “</w:t>
            </w:r>
            <w:proofErr w:type="spellStart"/>
            <w:r>
              <w:t>smápartafelagsins</w:t>
            </w:r>
            <w:proofErr w:type="spellEnd"/>
            <w:r>
              <w:t>” broytt til “</w:t>
            </w:r>
            <w:proofErr w:type="spellStart"/>
            <w:r>
              <w:t>lutafelagsins</w:t>
            </w:r>
            <w:proofErr w:type="spellEnd"/>
            <w:r>
              <w:t xml:space="preserve">”. </w:t>
            </w:r>
          </w:p>
          <w:p w14:paraId="173E0940" w14:textId="77777777" w:rsidR="009B5EDE" w:rsidRDefault="009B5EDE" w:rsidP="00FF07E2"/>
        </w:tc>
      </w:tr>
      <w:tr w:rsidR="009B5EDE" w14:paraId="1EB74A04" w14:textId="77777777" w:rsidTr="009B5EDE">
        <w:tc>
          <w:tcPr>
            <w:tcW w:w="4508" w:type="dxa"/>
          </w:tcPr>
          <w:p w14:paraId="03B1AE98" w14:textId="6C646674" w:rsidR="009B5EDE" w:rsidRDefault="00334F92" w:rsidP="00FF07E2">
            <w:r w:rsidRPr="00334F92">
              <w:rPr>
                <w:b/>
                <w:bCs/>
              </w:rPr>
              <w:t>§ 286.</w:t>
            </w:r>
            <w:r>
              <w:t xml:space="preserve"> </w:t>
            </w:r>
            <w:r>
              <w:rPr>
                <w:i/>
                <w:iCs/>
              </w:rPr>
              <w:t>Stk. 7.</w:t>
            </w:r>
            <w:r>
              <w:t xml:space="preserve"> </w:t>
            </w:r>
            <w:proofErr w:type="spellStart"/>
            <w:r>
              <w:t>Smápartaeigarar</w:t>
            </w:r>
            <w:proofErr w:type="spellEnd"/>
            <w:r>
              <w:t xml:space="preserve">, sum biðja um tað, skulu uttan gjald hava atgongd til tey skjøl, sum eru nevnd í stk. 6. </w:t>
            </w:r>
          </w:p>
        </w:tc>
        <w:tc>
          <w:tcPr>
            <w:tcW w:w="4508" w:type="dxa"/>
          </w:tcPr>
          <w:p w14:paraId="5C48F0A1" w14:textId="77777777" w:rsidR="00BE0197" w:rsidRDefault="00BE0197" w:rsidP="00BE0197">
            <w:pPr>
              <w:pStyle w:val="Listeafsnit"/>
              <w:numPr>
                <w:ilvl w:val="0"/>
                <w:numId w:val="3"/>
              </w:numPr>
            </w:pPr>
            <w:r>
              <w:t>Í § 286, stk. 7 verður “</w:t>
            </w:r>
            <w:proofErr w:type="spellStart"/>
            <w:r>
              <w:t>Smápartaeigarar</w:t>
            </w:r>
            <w:proofErr w:type="spellEnd"/>
            <w:r>
              <w:t xml:space="preserve">” broytt til “Lutaeigarar”. </w:t>
            </w:r>
          </w:p>
          <w:p w14:paraId="5283A0A9" w14:textId="77777777" w:rsidR="009B5EDE" w:rsidRDefault="009B5EDE" w:rsidP="00FF07E2"/>
        </w:tc>
      </w:tr>
      <w:tr w:rsidR="009B5EDE" w14:paraId="0EBB2535" w14:textId="77777777" w:rsidTr="009B5EDE">
        <w:tc>
          <w:tcPr>
            <w:tcW w:w="4508" w:type="dxa"/>
          </w:tcPr>
          <w:p w14:paraId="789F2E07" w14:textId="7523D809" w:rsidR="009B5EDE" w:rsidRPr="003A6690" w:rsidRDefault="00334F92" w:rsidP="00FF07E2">
            <w:r>
              <w:rPr>
                <w:b/>
                <w:bCs/>
              </w:rPr>
              <w:t>§ 287.</w:t>
            </w:r>
            <w:r>
              <w:t xml:space="preserve"> Avgerð um umskapan verður tikin av tí </w:t>
            </w:r>
            <w:proofErr w:type="spellStart"/>
            <w:r>
              <w:t>felagsstovni</w:t>
            </w:r>
            <w:proofErr w:type="spellEnd"/>
            <w:r>
              <w:t xml:space="preserve">, sum hevur heimild at broyta viðtøkurnar. Avgerðin verður tikin við tí fleirtali, sum krevst fyri at taka avgerð um at strika felagið, tó í minsta lagi við undirtøku av 4/5 av </w:t>
            </w:r>
            <w:proofErr w:type="spellStart"/>
            <w:r>
              <w:t>smápartaeigarunum</w:t>
            </w:r>
            <w:proofErr w:type="spellEnd"/>
            <w:r>
              <w:t xml:space="preserve"> ella atkvøðunum hjá hesum, tá ið atkvøðugreiðsla fer fram við støði í umsetningi el. </w:t>
            </w:r>
            <w:proofErr w:type="spellStart"/>
            <w:r>
              <w:t>tíl</w:t>
            </w:r>
            <w:proofErr w:type="spellEnd"/>
            <w:r>
              <w:t xml:space="preserve">. Er smápartafelagið undir </w:t>
            </w:r>
            <w:proofErr w:type="spellStart"/>
            <w:r>
              <w:t>tvingsilsavtøku</w:t>
            </w:r>
            <w:proofErr w:type="spellEnd"/>
            <w:r>
              <w:t xml:space="preserve">, kann avgerð um umskapan einans takast, um útlutan til </w:t>
            </w:r>
            <w:proofErr w:type="spellStart"/>
            <w:r>
              <w:t>smápartaeigararnar</w:t>
            </w:r>
            <w:proofErr w:type="spellEnd"/>
            <w:r>
              <w:t xml:space="preserve"> ikki er byrjað, og um </w:t>
            </w:r>
            <w:proofErr w:type="spellStart"/>
            <w:r>
              <w:t>smápartaeigararnir</w:t>
            </w:r>
            <w:proofErr w:type="spellEnd"/>
            <w:r>
              <w:t xml:space="preserve"> samstundis avgera at strika </w:t>
            </w:r>
            <w:proofErr w:type="spellStart"/>
            <w:r>
              <w:t>tvingsilsavtøkuna</w:t>
            </w:r>
            <w:proofErr w:type="spellEnd"/>
            <w:r>
              <w:t>. § 31 verður at nýta samsvarandi, tá ið eitt smápartafelag verður umskapað til eitt partafelag.</w:t>
            </w:r>
          </w:p>
        </w:tc>
        <w:tc>
          <w:tcPr>
            <w:tcW w:w="4508" w:type="dxa"/>
          </w:tcPr>
          <w:p w14:paraId="054F5092" w14:textId="30F80B7E" w:rsidR="00BE0197" w:rsidRDefault="00BE0197" w:rsidP="00BE0197">
            <w:pPr>
              <w:pStyle w:val="Listeafsnit"/>
              <w:numPr>
                <w:ilvl w:val="0"/>
                <w:numId w:val="3"/>
              </w:numPr>
            </w:pPr>
            <w:r>
              <w:t xml:space="preserve">§ 287, stk. 1 verður orðað soleiðis: </w:t>
            </w:r>
          </w:p>
          <w:p w14:paraId="4ED2A543" w14:textId="77777777" w:rsidR="00BE0197" w:rsidRDefault="00BE0197" w:rsidP="00BE0197">
            <w:pPr>
              <w:pStyle w:val="Listeafsnit"/>
            </w:pPr>
          </w:p>
          <w:p w14:paraId="021AEC56" w14:textId="6424E169" w:rsidR="00BE0197" w:rsidRDefault="00BE0197" w:rsidP="001D2CF3">
            <w:r>
              <w:t xml:space="preserve">“Avgerð um umskapan verður tikin av </w:t>
            </w:r>
            <w:proofErr w:type="spellStart"/>
            <w:r>
              <w:t>felagsstovni</w:t>
            </w:r>
            <w:proofErr w:type="spellEnd"/>
            <w:r>
              <w:t xml:space="preserve">, sum hevur heimild at broyta viðtøkurnar. Avgerðin verður tikin við tí fleirtali, sum krevst fyri at taka avgerð um at strika felagið, tó i minsta lagi við undirtøku av 4/5 av </w:t>
            </w:r>
            <w:proofErr w:type="spellStart"/>
            <w:r>
              <w:t>lutaeigarunum</w:t>
            </w:r>
            <w:proofErr w:type="spellEnd"/>
            <w:r>
              <w:t xml:space="preserve"> ella atkvøðunum hjá hesum, tá ið atkvøðugreiðsla fer fram við st</w:t>
            </w:r>
            <w:r w:rsidR="00DB2945">
              <w:t>ø</w:t>
            </w:r>
            <w:r>
              <w:t xml:space="preserve">ði í umsetningi ella tílíkt. Er lutafelagið í likvidatión, kann avgerð um umskapan einans takast, um útlutan til </w:t>
            </w:r>
            <w:proofErr w:type="spellStart"/>
            <w:r>
              <w:t>lutaeigararnar</w:t>
            </w:r>
            <w:proofErr w:type="spellEnd"/>
            <w:r>
              <w:t xml:space="preserve"> ikki er byrjað, og um </w:t>
            </w:r>
            <w:proofErr w:type="spellStart"/>
            <w:r>
              <w:t>lutaeigararnir</w:t>
            </w:r>
            <w:proofErr w:type="spellEnd"/>
            <w:r>
              <w:t xml:space="preserve"> samstundis avgera at enda likvidatiónina. § 31 verður at nýta samsvarandi, tá ið eitt lutafelag verður umskapað til eitt partafelag.” </w:t>
            </w:r>
          </w:p>
          <w:p w14:paraId="5DE94F6B" w14:textId="77777777" w:rsidR="00BE0197" w:rsidRDefault="00BE0197" w:rsidP="00BE0197">
            <w:pPr>
              <w:pStyle w:val="Listeafsnit"/>
              <w:ind w:left="643"/>
            </w:pPr>
          </w:p>
          <w:p w14:paraId="0DB5B3B0" w14:textId="5A98B435" w:rsidR="009B5EDE" w:rsidRDefault="009B5EDE" w:rsidP="00BE0197">
            <w:pPr>
              <w:tabs>
                <w:tab w:val="left" w:pos="516"/>
              </w:tabs>
            </w:pPr>
          </w:p>
        </w:tc>
      </w:tr>
      <w:tr w:rsidR="009B5EDE" w14:paraId="64C2ACDE" w14:textId="77777777" w:rsidTr="009B5EDE">
        <w:tc>
          <w:tcPr>
            <w:tcW w:w="4508" w:type="dxa"/>
          </w:tcPr>
          <w:p w14:paraId="3C8F138F" w14:textId="25653A0F" w:rsidR="009B5EDE" w:rsidRDefault="00334F92" w:rsidP="00FF07E2">
            <w:r w:rsidRPr="00334F92">
              <w:rPr>
                <w:b/>
                <w:bCs/>
              </w:rPr>
              <w:t>§ 287.</w:t>
            </w:r>
            <w:r>
              <w:t xml:space="preserve"> </w:t>
            </w:r>
            <w:r>
              <w:rPr>
                <w:i/>
                <w:iCs/>
              </w:rPr>
              <w:t>Stk. 2.</w:t>
            </w:r>
            <w:r>
              <w:t xml:space="preserve"> Í eini umskapan, har avgjørt er ikki at gera eina </w:t>
            </w:r>
            <w:proofErr w:type="spellStart"/>
            <w:r>
              <w:t>umskapanarætlan</w:t>
            </w:r>
            <w:proofErr w:type="spellEnd"/>
            <w:r>
              <w:t xml:space="preserve">, sbr. § 326, stk. 2, skal høvuðsleiðslan upplýsa um týðandi viðurskifti, undir hesum um munandi broytingar í ognum og skyldum, sum eru farnar fram í tíðarskeiðinum millum </w:t>
            </w:r>
            <w:proofErr w:type="spellStart"/>
            <w:r>
              <w:t>fíggjarjavnadagin</w:t>
            </w:r>
            <w:proofErr w:type="spellEnd"/>
            <w:r>
              <w:t xml:space="preserve"> í seinastu </w:t>
            </w:r>
            <w:proofErr w:type="spellStart"/>
            <w:r>
              <w:t>ársfrásøgn</w:t>
            </w:r>
            <w:proofErr w:type="spellEnd"/>
            <w:r>
              <w:t xml:space="preserve"> ella </w:t>
            </w:r>
            <w:proofErr w:type="spellStart"/>
            <w:r>
              <w:t>undantaksváttan</w:t>
            </w:r>
            <w:proofErr w:type="spellEnd"/>
            <w:r>
              <w:t xml:space="preserve"> og aðalfundin.</w:t>
            </w:r>
          </w:p>
        </w:tc>
        <w:tc>
          <w:tcPr>
            <w:tcW w:w="4508" w:type="dxa"/>
          </w:tcPr>
          <w:p w14:paraId="2EDA5FB5" w14:textId="77777777" w:rsidR="00BE0197" w:rsidRDefault="00BE0197" w:rsidP="00BE0197">
            <w:pPr>
              <w:pStyle w:val="Listeafsnit"/>
              <w:numPr>
                <w:ilvl w:val="0"/>
                <w:numId w:val="3"/>
              </w:numPr>
            </w:pPr>
            <w:r>
              <w:t>Í § 287, stk. 2 verður “sbr. § 326, stk. 2” broytt til “sbr. § 278, stk. 2”.</w:t>
            </w:r>
          </w:p>
          <w:p w14:paraId="57EE1C5B" w14:textId="77777777" w:rsidR="009B5EDE" w:rsidRDefault="009B5EDE" w:rsidP="00334F92">
            <w:pPr>
              <w:pStyle w:val="Listeafsnit"/>
              <w:ind w:left="643"/>
            </w:pPr>
          </w:p>
        </w:tc>
      </w:tr>
      <w:tr w:rsidR="00334F92" w14:paraId="085D787A" w14:textId="77777777" w:rsidTr="009B5EDE">
        <w:tc>
          <w:tcPr>
            <w:tcW w:w="4508" w:type="dxa"/>
          </w:tcPr>
          <w:p w14:paraId="1A272156" w14:textId="0545810C" w:rsidR="00334F92" w:rsidRDefault="00334F92" w:rsidP="00334F92">
            <w:pPr>
              <w:pStyle w:val="stk0"/>
            </w:pPr>
            <w:r w:rsidRPr="00334F92">
              <w:rPr>
                <w:b/>
                <w:bCs/>
              </w:rPr>
              <w:t>§ 287.</w:t>
            </w:r>
            <w:r>
              <w:t xml:space="preserve"> </w:t>
            </w:r>
            <w:r>
              <w:rPr>
                <w:i/>
                <w:iCs/>
              </w:rPr>
              <w:t>Stk. 3.</w:t>
            </w:r>
            <w:r>
              <w:t xml:space="preserve"> </w:t>
            </w:r>
            <w:proofErr w:type="spellStart"/>
            <w:r>
              <w:t>Um</w:t>
            </w:r>
            <w:proofErr w:type="spellEnd"/>
            <w:r>
              <w:t xml:space="preserve"> </w:t>
            </w:r>
            <w:proofErr w:type="spellStart"/>
            <w:r>
              <w:t>umskapanarætlan</w:t>
            </w:r>
            <w:proofErr w:type="spellEnd"/>
            <w:r>
              <w:t xml:space="preserve"> </w:t>
            </w:r>
            <w:proofErr w:type="spellStart"/>
            <w:r>
              <w:t>ikki</w:t>
            </w:r>
            <w:proofErr w:type="spellEnd"/>
            <w:r>
              <w:t xml:space="preserve"> </w:t>
            </w:r>
            <w:proofErr w:type="spellStart"/>
            <w:r>
              <w:t>verður</w:t>
            </w:r>
            <w:proofErr w:type="spellEnd"/>
            <w:r>
              <w:t xml:space="preserve"> </w:t>
            </w:r>
            <w:proofErr w:type="spellStart"/>
            <w:r>
              <w:t>gjørd</w:t>
            </w:r>
            <w:proofErr w:type="spellEnd"/>
            <w:r>
              <w:t xml:space="preserve">, </w:t>
            </w:r>
            <w:proofErr w:type="spellStart"/>
            <w:r>
              <w:t>sbr</w:t>
            </w:r>
            <w:proofErr w:type="spellEnd"/>
            <w:r>
              <w:t xml:space="preserve">. § 326, skal </w:t>
            </w:r>
            <w:proofErr w:type="spellStart"/>
            <w:r>
              <w:t>støða</w:t>
            </w:r>
            <w:proofErr w:type="spellEnd"/>
            <w:r>
              <w:t xml:space="preserve"> </w:t>
            </w:r>
            <w:proofErr w:type="spellStart"/>
            <w:r>
              <w:t>takast</w:t>
            </w:r>
            <w:proofErr w:type="spellEnd"/>
            <w:r>
              <w:t xml:space="preserve"> til </w:t>
            </w:r>
            <w:proofErr w:type="spellStart"/>
            <w:r>
              <w:t>hesi</w:t>
            </w:r>
            <w:proofErr w:type="spellEnd"/>
            <w:r>
              <w:t xml:space="preserve"> </w:t>
            </w:r>
            <w:proofErr w:type="spellStart"/>
            <w:r>
              <w:t>viðurskifti</w:t>
            </w:r>
            <w:proofErr w:type="spellEnd"/>
            <w:r>
              <w:t xml:space="preserve"> í </w:t>
            </w:r>
            <w:proofErr w:type="spellStart"/>
            <w:r>
              <w:t>sambandi</w:t>
            </w:r>
            <w:proofErr w:type="spellEnd"/>
            <w:r>
              <w:t xml:space="preserve"> við, at </w:t>
            </w:r>
            <w:proofErr w:type="spellStart"/>
            <w:r>
              <w:t>umskapanin</w:t>
            </w:r>
            <w:proofErr w:type="spellEnd"/>
            <w:r>
              <w:t xml:space="preserve"> </w:t>
            </w:r>
            <w:proofErr w:type="spellStart"/>
            <w:r>
              <w:t>verður</w:t>
            </w:r>
            <w:proofErr w:type="spellEnd"/>
            <w:r>
              <w:t xml:space="preserve"> </w:t>
            </w:r>
            <w:proofErr w:type="spellStart"/>
            <w:r>
              <w:t>samtykt</w:t>
            </w:r>
            <w:proofErr w:type="spellEnd"/>
            <w:r>
              <w:t xml:space="preserve">: </w:t>
            </w:r>
          </w:p>
          <w:p w14:paraId="6A369464" w14:textId="77777777" w:rsidR="00334F92" w:rsidRDefault="00334F92" w:rsidP="00334F92">
            <w:pPr>
              <w:pStyle w:val="nummer"/>
            </w:pPr>
            <w:r>
              <w:t xml:space="preserve">1)   Navn og møgulig </w:t>
            </w:r>
            <w:proofErr w:type="spellStart"/>
            <w:r>
              <w:t>hjánøvn</w:t>
            </w:r>
            <w:proofErr w:type="spellEnd"/>
            <w:r>
              <w:t xml:space="preserve"> </w:t>
            </w:r>
            <w:proofErr w:type="spellStart"/>
            <w:r>
              <w:t>smápartafelagsins</w:t>
            </w:r>
            <w:proofErr w:type="spellEnd"/>
            <w:r>
              <w:t xml:space="preserve">. </w:t>
            </w:r>
          </w:p>
          <w:p w14:paraId="2F1D243B" w14:textId="77777777" w:rsidR="00334F92" w:rsidRDefault="00334F92" w:rsidP="00FF07E2"/>
        </w:tc>
        <w:tc>
          <w:tcPr>
            <w:tcW w:w="4508" w:type="dxa"/>
          </w:tcPr>
          <w:p w14:paraId="5699299E" w14:textId="77777777" w:rsidR="00334F92" w:rsidRDefault="00334F92" w:rsidP="00334F92">
            <w:pPr>
              <w:pStyle w:val="Listeafsnit"/>
              <w:numPr>
                <w:ilvl w:val="0"/>
                <w:numId w:val="3"/>
              </w:numPr>
            </w:pPr>
            <w:r>
              <w:t>Í § 287, stk. 3, nr. 1 verður “</w:t>
            </w:r>
            <w:proofErr w:type="spellStart"/>
            <w:r>
              <w:t>smápartafelagsins</w:t>
            </w:r>
            <w:proofErr w:type="spellEnd"/>
            <w:r>
              <w:t>” broytt til “</w:t>
            </w:r>
            <w:proofErr w:type="spellStart"/>
            <w:r>
              <w:t>lutafelagsins</w:t>
            </w:r>
            <w:proofErr w:type="spellEnd"/>
            <w:r>
              <w:t xml:space="preserve">”. </w:t>
            </w:r>
          </w:p>
          <w:p w14:paraId="0C03C9B2" w14:textId="77777777" w:rsidR="00334F92" w:rsidRDefault="00334F92" w:rsidP="00334F92">
            <w:pPr>
              <w:pStyle w:val="Listeafsnit"/>
              <w:ind w:left="643"/>
            </w:pPr>
          </w:p>
        </w:tc>
      </w:tr>
      <w:tr w:rsidR="009B5EDE" w14:paraId="0E4CD2D8" w14:textId="77777777" w:rsidTr="009B5EDE">
        <w:tc>
          <w:tcPr>
            <w:tcW w:w="4508" w:type="dxa"/>
          </w:tcPr>
          <w:p w14:paraId="1B6EAA60" w14:textId="192CCBF8" w:rsidR="009B5EDE" w:rsidRDefault="00334F92" w:rsidP="00FF07E2">
            <w:r>
              <w:t xml:space="preserve">2)   Viðurgjaldið fyri partarnar í </w:t>
            </w:r>
            <w:proofErr w:type="spellStart"/>
            <w:r>
              <w:t>umskapaða</w:t>
            </w:r>
            <w:proofErr w:type="spellEnd"/>
            <w:r>
              <w:t xml:space="preserve"> smápartafelagnum.</w:t>
            </w:r>
          </w:p>
        </w:tc>
        <w:tc>
          <w:tcPr>
            <w:tcW w:w="4508" w:type="dxa"/>
          </w:tcPr>
          <w:p w14:paraId="41E5DD74" w14:textId="77777777" w:rsidR="00BE0197" w:rsidRDefault="00BE0197" w:rsidP="00BE0197">
            <w:pPr>
              <w:pStyle w:val="Listeafsnit"/>
              <w:numPr>
                <w:ilvl w:val="0"/>
                <w:numId w:val="3"/>
              </w:numPr>
            </w:pPr>
            <w:r>
              <w:t>Í § 287, stk. 3, nr. 2 verður “</w:t>
            </w:r>
            <w:proofErr w:type="spellStart"/>
            <w:r>
              <w:t>smáparafelagnum</w:t>
            </w:r>
            <w:proofErr w:type="spellEnd"/>
            <w:r>
              <w:t xml:space="preserve">” broytt til “lutafelagnum”. </w:t>
            </w:r>
          </w:p>
          <w:p w14:paraId="7F8AE3A9" w14:textId="77777777" w:rsidR="009B5EDE" w:rsidRDefault="009B5EDE" w:rsidP="00FF07E2"/>
        </w:tc>
      </w:tr>
      <w:tr w:rsidR="00334F92" w14:paraId="1D2098C9" w14:textId="77777777" w:rsidTr="009B5EDE">
        <w:tc>
          <w:tcPr>
            <w:tcW w:w="4508" w:type="dxa"/>
          </w:tcPr>
          <w:p w14:paraId="3441531B" w14:textId="59F1B9CA" w:rsidR="00334F92" w:rsidRDefault="00334F92" w:rsidP="00FF07E2">
            <w:r>
              <w:rPr>
                <w:b/>
                <w:bCs/>
              </w:rPr>
              <w:lastRenderedPageBreak/>
              <w:t>§ 289.</w:t>
            </w:r>
            <w:r>
              <w:t xml:space="preserve"> Samtykta umskapanin skal fyri smápartafelagið verða skrásett ella fráboðað til skrásetingar, sbr. § 9, hjá Skráseting Føroya í seinasta lagi 2 vikur eftir, at umskapanin er samtykt. Við skrásetingini ella fráboðanini skulu vera skjølini, nevnd í § 286, stk. 6, nr. 3-7, um tey eru gjørd.</w:t>
            </w:r>
          </w:p>
        </w:tc>
        <w:tc>
          <w:tcPr>
            <w:tcW w:w="4508" w:type="dxa"/>
          </w:tcPr>
          <w:p w14:paraId="5A83B6A1" w14:textId="6F5BF819" w:rsidR="00334F92" w:rsidRDefault="00245DF4" w:rsidP="00334F92">
            <w:pPr>
              <w:pStyle w:val="Listeafsnit"/>
              <w:numPr>
                <w:ilvl w:val="0"/>
                <w:numId w:val="3"/>
              </w:numPr>
            </w:pPr>
            <w:r>
              <w:t xml:space="preserve"> </w:t>
            </w:r>
            <w:r w:rsidR="00334F92">
              <w:t>Í § 289, stk. 1, 1. pkt. verður “smápartafelagið” broytt til “lutafelagið”.</w:t>
            </w:r>
          </w:p>
          <w:p w14:paraId="491DF3D9" w14:textId="5A0E4FA7" w:rsidR="00334F92" w:rsidRDefault="00334F92" w:rsidP="00334F92"/>
        </w:tc>
      </w:tr>
      <w:tr w:rsidR="00334F92" w14:paraId="4EBCF515" w14:textId="77777777" w:rsidTr="009B5EDE">
        <w:tc>
          <w:tcPr>
            <w:tcW w:w="4508" w:type="dxa"/>
          </w:tcPr>
          <w:p w14:paraId="06921F67" w14:textId="41DDB820" w:rsidR="00334F92" w:rsidRDefault="00334F92" w:rsidP="00FF07E2">
            <w:r>
              <w:rPr>
                <w:b/>
                <w:bCs/>
              </w:rPr>
              <w:t xml:space="preserve">§ 289. </w:t>
            </w:r>
            <w:r>
              <w:rPr>
                <w:i/>
                <w:iCs/>
              </w:rPr>
              <w:t>Stk. 3.</w:t>
            </w:r>
            <w:r>
              <w:t xml:space="preserve"> Ein umskapan frá smápartafelag til partafelag kann skrásetast, tá ið:</w:t>
            </w:r>
          </w:p>
        </w:tc>
        <w:tc>
          <w:tcPr>
            <w:tcW w:w="4508" w:type="dxa"/>
          </w:tcPr>
          <w:p w14:paraId="0A0216D5" w14:textId="77777777" w:rsidR="00334F92" w:rsidRDefault="00334F92" w:rsidP="00BE0197">
            <w:pPr>
              <w:pStyle w:val="Listeafsnit"/>
              <w:numPr>
                <w:ilvl w:val="0"/>
                <w:numId w:val="3"/>
              </w:numPr>
            </w:pPr>
            <w:r>
              <w:t xml:space="preserve">Í § 289, stk. 3, 1. Pkt. verður “Ein umskapan frá smápartafelag” broytt til “Ein umskapan frá lutafelagi”. </w:t>
            </w:r>
          </w:p>
          <w:p w14:paraId="2ECB77BA" w14:textId="77777777" w:rsidR="00334F92" w:rsidRDefault="00334F92" w:rsidP="00BE0197">
            <w:pPr>
              <w:ind w:firstLine="720"/>
            </w:pPr>
          </w:p>
        </w:tc>
      </w:tr>
      <w:tr w:rsidR="00334F92" w14:paraId="7B09DB79" w14:textId="77777777" w:rsidTr="009B5EDE">
        <w:tc>
          <w:tcPr>
            <w:tcW w:w="4508" w:type="dxa"/>
          </w:tcPr>
          <w:p w14:paraId="421310A7" w14:textId="25E7F83D" w:rsidR="00334F92" w:rsidRDefault="00334F92" w:rsidP="00756C7C">
            <w:pPr>
              <w:pStyle w:val="Listeafsnit"/>
              <w:numPr>
                <w:ilvl w:val="0"/>
                <w:numId w:val="4"/>
              </w:numPr>
            </w:pPr>
            <w:proofErr w:type="spellStart"/>
            <w:r>
              <w:t>Smápartaeigararnir</w:t>
            </w:r>
            <w:proofErr w:type="spellEnd"/>
            <w:r>
              <w:t xml:space="preserve"> hava avgjørt at umskapa, sbr. § 287, stk. 1.</w:t>
            </w:r>
          </w:p>
        </w:tc>
        <w:tc>
          <w:tcPr>
            <w:tcW w:w="4508" w:type="dxa"/>
          </w:tcPr>
          <w:p w14:paraId="0D32A2C7" w14:textId="481191A5" w:rsidR="00334F92" w:rsidRDefault="00245DF4" w:rsidP="00BE0197">
            <w:pPr>
              <w:pStyle w:val="Listeafsnit"/>
              <w:numPr>
                <w:ilvl w:val="0"/>
                <w:numId w:val="3"/>
              </w:numPr>
            </w:pPr>
            <w:r>
              <w:t xml:space="preserve"> </w:t>
            </w:r>
            <w:r w:rsidR="00334F92">
              <w:t>Í § 289, stk. 3, nr. 1 verður “</w:t>
            </w:r>
            <w:proofErr w:type="spellStart"/>
            <w:r w:rsidR="00334F92">
              <w:t>Smápartaeigararnir</w:t>
            </w:r>
            <w:proofErr w:type="spellEnd"/>
            <w:r w:rsidR="00334F92">
              <w:t>” broytt til “</w:t>
            </w:r>
            <w:proofErr w:type="spellStart"/>
            <w:r w:rsidR="00334F92">
              <w:t>Lutaeigararnir</w:t>
            </w:r>
            <w:proofErr w:type="spellEnd"/>
            <w:r w:rsidR="00334F92">
              <w:t xml:space="preserve">”. </w:t>
            </w:r>
          </w:p>
          <w:p w14:paraId="7072B154" w14:textId="77777777" w:rsidR="00334F92" w:rsidRDefault="00334F92" w:rsidP="00BE0197">
            <w:pPr>
              <w:ind w:firstLine="720"/>
            </w:pPr>
          </w:p>
        </w:tc>
      </w:tr>
      <w:tr w:rsidR="00334F92" w14:paraId="4B6D41A7" w14:textId="77777777" w:rsidTr="009B5EDE">
        <w:tc>
          <w:tcPr>
            <w:tcW w:w="4508" w:type="dxa"/>
          </w:tcPr>
          <w:p w14:paraId="4435A9D1" w14:textId="190A6ABD" w:rsidR="00334F92" w:rsidRDefault="00756C7C" w:rsidP="00756C7C">
            <w:pPr>
              <w:pStyle w:val="Listeafsnit"/>
              <w:numPr>
                <w:ilvl w:val="0"/>
                <w:numId w:val="5"/>
              </w:numPr>
            </w:pPr>
            <w:r>
              <w:t>Treytirnar í § 335, stk. 4 um val av leiðslu og grannskoðara eru loknar.</w:t>
            </w:r>
          </w:p>
        </w:tc>
        <w:tc>
          <w:tcPr>
            <w:tcW w:w="4508" w:type="dxa"/>
          </w:tcPr>
          <w:p w14:paraId="6A9B6503" w14:textId="11512C37" w:rsidR="00334F92" w:rsidRDefault="00334F92" w:rsidP="00BE0197">
            <w:pPr>
              <w:pStyle w:val="Listeafsnit"/>
              <w:numPr>
                <w:ilvl w:val="0"/>
                <w:numId w:val="3"/>
              </w:numPr>
            </w:pPr>
            <w:r>
              <w:t>Í § 289, stk. 3</w:t>
            </w:r>
            <w:r w:rsidR="00756C7C">
              <w:t>, nr. 3</w:t>
            </w:r>
            <w:r>
              <w:t xml:space="preserve"> verður “Treytirnar í § 335, stk. 4” broytt til “Treytirnar í § 287, stk. 6”. </w:t>
            </w:r>
          </w:p>
          <w:p w14:paraId="59C09050" w14:textId="70EE37EF" w:rsidR="00334F92" w:rsidRDefault="00334F92" w:rsidP="00BE0197">
            <w:pPr>
              <w:tabs>
                <w:tab w:val="left" w:pos="1472"/>
              </w:tabs>
            </w:pPr>
          </w:p>
        </w:tc>
      </w:tr>
      <w:tr w:rsidR="00334F92" w14:paraId="13844E81" w14:textId="77777777" w:rsidTr="009B5EDE">
        <w:tc>
          <w:tcPr>
            <w:tcW w:w="4508" w:type="dxa"/>
          </w:tcPr>
          <w:p w14:paraId="397C6F6C" w14:textId="14CF0C64" w:rsidR="00334F92" w:rsidRDefault="00756C7C" w:rsidP="00756C7C">
            <w:pPr>
              <w:pStyle w:val="Listeafsnit"/>
              <w:numPr>
                <w:ilvl w:val="0"/>
                <w:numId w:val="5"/>
              </w:numPr>
            </w:pPr>
            <w:r>
              <w:t xml:space="preserve">Krøvini hjá </w:t>
            </w:r>
            <w:proofErr w:type="spellStart"/>
            <w:r>
              <w:t>smápartaeigarunum</w:t>
            </w:r>
            <w:proofErr w:type="spellEnd"/>
            <w:r>
              <w:t xml:space="preserve"> um samsýning eftir § 288 eru avgjørd uttan so, at nøktandi trygd er veitt fyri kravinum. Hava metingarfólk ummælt ætlaðu umskapanina, </w:t>
            </w:r>
            <w:proofErr w:type="spellStart"/>
            <w:r>
              <w:t>heruppií</w:t>
            </w:r>
            <w:proofErr w:type="spellEnd"/>
            <w:r>
              <w:t xml:space="preserve"> eisini viðurgjaldið, og verður tað í ummælinum mett, at viðurgjaldið er rímiliga og sakliga grundað, skulu metingarfólkini harumframt hava váttað, at tað í avgerandi mun ikki fer at verða funnist at ummæli teirra um viðurgjaldið. Metingarfólkini gera av, um trygdin er nøktandi.</w:t>
            </w:r>
          </w:p>
        </w:tc>
        <w:tc>
          <w:tcPr>
            <w:tcW w:w="4508" w:type="dxa"/>
          </w:tcPr>
          <w:p w14:paraId="667F112F" w14:textId="34B274CE" w:rsidR="00334F92" w:rsidRDefault="00334F92" w:rsidP="00BE0197">
            <w:pPr>
              <w:pStyle w:val="Listeafsnit"/>
              <w:numPr>
                <w:ilvl w:val="0"/>
                <w:numId w:val="3"/>
              </w:numPr>
            </w:pPr>
            <w:r>
              <w:t>Í § 289, stk. 3, nr. 4</w:t>
            </w:r>
            <w:r w:rsidR="00756C7C">
              <w:t>, 1. pkt.</w:t>
            </w:r>
            <w:r>
              <w:t xml:space="preserve"> verður “Krøvini hjá </w:t>
            </w:r>
            <w:proofErr w:type="spellStart"/>
            <w:r>
              <w:t>smápartaeigarunum</w:t>
            </w:r>
            <w:proofErr w:type="spellEnd"/>
            <w:r>
              <w:t xml:space="preserve">” broytt til “Krøvini í § 287, stk. 6”. </w:t>
            </w:r>
          </w:p>
          <w:p w14:paraId="75CB4E35" w14:textId="77777777" w:rsidR="00334F92" w:rsidRDefault="00334F92" w:rsidP="00FF07E2"/>
        </w:tc>
      </w:tr>
      <w:tr w:rsidR="00334F92" w14:paraId="1550E5D7" w14:textId="77777777" w:rsidTr="009B5EDE">
        <w:tc>
          <w:tcPr>
            <w:tcW w:w="4508" w:type="dxa"/>
          </w:tcPr>
          <w:p w14:paraId="55C45918" w14:textId="5456DAF6" w:rsidR="00334F92" w:rsidRDefault="00756C7C" w:rsidP="00FF07E2">
            <w:r w:rsidRPr="00756C7C">
              <w:rPr>
                <w:b/>
                <w:bCs/>
              </w:rPr>
              <w:t>§ 289.</w:t>
            </w:r>
            <w:r>
              <w:t xml:space="preserve"> </w:t>
            </w:r>
            <w:r>
              <w:rPr>
                <w:i/>
                <w:iCs/>
              </w:rPr>
              <w:t>Stk. 4.</w:t>
            </w:r>
            <w:r>
              <w:t xml:space="preserve"> Umskapanin av einum smápartafelag til partafelag verður mett at vera framd, tá ið viðtøkur felagsins eru broyttar soleiðis, at tær lúka krøvini fyri partafeløg, og tá ið umskapanin er skrásett í </w:t>
            </w:r>
            <w:proofErr w:type="spellStart"/>
            <w:r>
              <w:t>kt-skipan</w:t>
            </w:r>
            <w:proofErr w:type="spellEnd"/>
            <w:r>
              <w:t xml:space="preserve"> Skráseting Føroya.</w:t>
            </w:r>
          </w:p>
        </w:tc>
        <w:tc>
          <w:tcPr>
            <w:tcW w:w="4508" w:type="dxa"/>
          </w:tcPr>
          <w:p w14:paraId="33C323E6" w14:textId="77777777" w:rsidR="00334F92" w:rsidRDefault="00334F92" w:rsidP="00BE0197">
            <w:pPr>
              <w:pStyle w:val="Listeafsnit"/>
              <w:numPr>
                <w:ilvl w:val="0"/>
                <w:numId w:val="3"/>
              </w:numPr>
            </w:pPr>
            <w:r>
              <w:t xml:space="preserve">Í § 289, stk. 4 verður “Umskapanin av einum smápartafelag” broytt til “Umskapan av einum lutafelag”. </w:t>
            </w:r>
          </w:p>
          <w:p w14:paraId="689ACA54" w14:textId="77777777" w:rsidR="00334F92" w:rsidRDefault="00334F92" w:rsidP="00BE0197">
            <w:pPr>
              <w:ind w:firstLine="720"/>
            </w:pPr>
          </w:p>
        </w:tc>
      </w:tr>
      <w:tr w:rsidR="00334F92" w14:paraId="639AE418" w14:textId="77777777" w:rsidTr="009B5EDE">
        <w:tc>
          <w:tcPr>
            <w:tcW w:w="4508" w:type="dxa"/>
          </w:tcPr>
          <w:p w14:paraId="5B8E1D1B" w14:textId="28B1230D" w:rsidR="00334F92" w:rsidRDefault="00756C7C" w:rsidP="00FF07E2">
            <w:r>
              <w:rPr>
                <w:b/>
                <w:bCs/>
              </w:rPr>
              <w:t>§ 319.</w:t>
            </w:r>
            <w:r>
              <w:t xml:space="preserve"> Brot á § 1, stk. 3, § 2, § 3, stk. 1, §§ 10 og 15, § 24, stk. 2, § 30, § 32, stk. 2 og 3, § 33, stk. 4, § 38, stk. 2, § 42 a, § 44, stk. 1, 49, stk. 4, § 50, stk. 1, § 51, stk. 1, 2 og 6, § 52, § 53, stk. 1 og 2, §§ 54-56, § 57 a, stk. 1-3, § 58, § 58 a, stk. 2 og 3, §§ 59-61, 89, 98 og 99, § 101, stk. 3, 4, 7 og 8, §§ 108 og 113-119, § 120, stk. 3, §§ 123, 125, 127-134, 138, 139, § 139 a, stk. 1, nr. 1, § 160, 3. pkt., § 179, stk. 2, § 180, § 181, 3. pkt., § 182, stk. 3, § 190, stk. 2, 3. pkt., § 192, stk. 1, § 193, stk. 2, §§ 196, 198 og 202-204, § </w:t>
            </w:r>
            <w:r>
              <w:lastRenderedPageBreak/>
              <w:t>205, stk. 1, § 206, § 207, stk. 3, § 210, § 214, stk. 2 og 3, § 215, stk. 1, § 218, stk. 2, § 227, stk. 2, §§ 228 og 234, § 291, stk. 6, § 292, stk. 3, § 299, § 301, stk. 2 og 3, og §§ 306, 308, 309, 309 a, 309 b og 311 verður revsað við bót. Eitt felag, sum ikki rættar avgerðir, tiknar í stríð við § 206 ella § 210, verður revsað við bót</w:t>
            </w:r>
          </w:p>
        </w:tc>
        <w:tc>
          <w:tcPr>
            <w:tcW w:w="4508" w:type="dxa"/>
          </w:tcPr>
          <w:p w14:paraId="6044F0A4" w14:textId="0CDE0E75" w:rsidR="00334F92" w:rsidRDefault="00334F92" w:rsidP="00BE0197">
            <w:pPr>
              <w:pStyle w:val="Listeafsnit"/>
              <w:numPr>
                <w:ilvl w:val="0"/>
                <w:numId w:val="3"/>
              </w:numPr>
            </w:pPr>
            <w:r>
              <w:lastRenderedPageBreak/>
              <w:t>Í § 319</w:t>
            </w:r>
            <w:r w:rsidR="00756C7C">
              <w:t>, stk. 1, 1. pkt.</w:t>
            </w:r>
            <w:r>
              <w:t xml:space="preserve"> verður “58 a, stk. 2 og 3” broytt til “58 a, stk. 3, 5 og 6”. </w:t>
            </w:r>
          </w:p>
          <w:p w14:paraId="75FF70E4" w14:textId="77777777" w:rsidR="00334F92" w:rsidRDefault="00334F92" w:rsidP="00FF07E2"/>
        </w:tc>
      </w:tr>
      <w:tr w:rsidR="00334F92" w14:paraId="39FBAB4B" w14:textId="77777777" w:rsidTr="009B5EDE">
        <w:tc>
          <w:tcPr>
            <w:tcW w:w="4508" w:type="dxa"/>
          </w:tcPr>
          <w:p w14:paraId="482D63EE" w14:textId="7FA15997" w:rsidR="00334F92" w:rsidRPr="003A6690" w:rsidRDefault="00756C7C" w:rsidP="00FF07E2">
            <w:r>
              <w:rPr>
                <w:b/>
                <w:bCs/>
              </w:rPr>
              <w:t>§ 319.</w:t>
            </w:r>
            <w:r>
              <w:t xml:space="preserve"> </w:t>
            </w:r>
            <w:r>
              <w:rPr>
                <w:i/>
                <w:iCs/>
              </w:rPr>
              <w:t>Stk. 4.</w:t>
            </w:r>
            <w:r>
              <w:t xml:space="preserve"> Í fyriskipanum, settar sambært § 4, stk. 3, § 12, stk. 2, § 55, stk. 3, § 56, stk. 2, § 57, § 57 a, stk. 6, § 58 a, stk. 5, § 71, stk. 4, § 143, § 172, § 244, stk. 6, § 262, stk. 6, § 279, stk. 5, § 299, stk. 5 og § 285, stk. 6, kann verða ásett, at brot á ásetingarnar í fyriskipanunum verður revsað við bót.</w:t>
            </w:r>
          </w:p>
        </w:tc>
        <w:tc>
          <w:tcPr>
            <w:tcW w:w="4508" w:type="dxa"/>
          </w:tcPr>
          <w:p w14:paraId="4FD0A55C" w14:textId="77777777" w:rsidR="00334F92" w:rsidRDefault="00334F92" w:rsidP="00BE0197">
            <w:pPr>
              <w:pStyle w:val="Listeafsnit"/>
              <w:numPr>
                <w:ilvl w:val="0"/>
                <w:numId w:val="3"/>
              </w:numPr>
            </w:pPr>
            <w:r>
              <w:t xml:space="preserve">Í § 319, stk. 4 verður “§ 58 a, stk. 5” broytt til “§ 58 a, stk. 9”. </w:t>
            </w:r>
          </w:p>
          <w:p w14:paraId="105F7AEE" w14:textId="77777777" w:rsidR="00334F92" w:rsidRDefault="00334F92" w:rsidP="00FF07E2"/>
        </w:tc>
      </w:tr>
      <w:tr w:rsidR="00334F92" w14:paraId="0FDFBEB8" w14:textId="77777777" w:rsidTr="009B5EDE">
        <w:tc>
          <w:tcPr>
            <w:tcW w:w="4508" w:type="dxa"/>
          </w:tcPr>
          <w:p w14:paraId="06E723E2" w14:textId="77777777" w:rsidR="00334F92" w:rsidRDefault="00334F92" w:rsidP="00FF07E2"/>
        </w:tc>
        <w:tc>
          <w:tcPr>
            <w:tcW w:w="4508" w:type="dxa"/>
          </w:tcPr>
          <w:p w14:paraId="21670627" w14:textId="77777777" w:rsidR="00334F92" w:rsidRDefault="00334F92" w:rsidP="00756C7C">
            <w:pPr>
              <w:jc w:val="center"/>
              <w:rPr>
                <w:b/>
                <w:bCs/>
              </w:rPr>
            </w:pPr>
            <w:r>
              <w:rPr>
                <w:b/>
                <w:bCs/>
              </w:rPr>
              <w:t>§ 2.</w:t>
            </w:r>
          </w:p>
          <w:p w14:paraId="0863CA6E" w14:textId="77777777" w:rsidR="004346F9" w:rsidRDefault="004346F9" w:rsidP="004346F9">
            <w:pPr>
              <w:rPr>
                <w:color w:val="000000"/>
                <w:shd w:val="clear" w:color="auto" w:fill="FFFFFF"/>
              </w:rPr>
            </w:pPr>
            <w:r w:rsidRPr="002A1ADE">
              <w:rPr>
                <w:color w:val="000000"/>
                <w:shd w:val="clear" w:color="auto" w:fill="FFFFFF"/>
              </w:rPr>
              <w:t xml:space="preserve">Í </w:t>
            </w:r>
            <w:proofErr w:type="spellStart"/>
            <w:r w:rsidRPr="002A1ADE">
              <w:rPr>
                <w:color w:val="000000"/>
                <w:shd w:val="clear" w:color="auto" w:fill="FFFFFF"/>
              </w:rPr>
              <w:t>anordning</w:t>
            </w:r>
            <w:proofErr w:type="spellEnd"/>
            <w:r w:rsidRPr="002A1ADE">
              <w:rPr>
                <w:color w:val="000000"/>
                <w:shd w:val="clear" w:color="auto" w:fill="FFFFFF"/>
              </w:rPr>
              <w:t xml:space="preserve"> nr. 1114 </w:t>
            </w:r>
            <w:proofErr w:type="spellStart"/>
            <w:r w:rsidRPr="002A1ADE">
              <w:rPr>
                <w:color w:val="000000"/>
                <w:shd w:val="clear" w:color="auto" w:fill="FFFFFF"/>
              </w:rPr>
              <w:t>af</w:t>
            </w:r>
            <w:proofErr w:type="spellEnd"/>
            <w:r w:rsidRPr="002A1ADE">
              <w:rPr>
                <w:color w:val="000000"/>
                <w:shd w:val="clear" w:color="auto" w:fill="FFFFFF"/>
              </w:rPr>
              <w:t xml:space="preserve"> 20. september 2007 </w:t>
            </w:r>
            <w:proofErr w:type="spellStart"/>
            <w:r w:rsidRPr="002A1ADE">
              <w:rPr>
                <w:color w:val="000000"/>
                <w:shd w:val="clear" w:color="auto" w:fill="FFFFFF"/>
              </w:rPr>
              <w:t>om</w:t>
            </w:r>
            <w:proofErr w:type="spellEnd"/>
            <w:r w:rsidRPr="002A1ADE">
              <w:rPr>
                <w:color w:val="000000"/>
                <w:shd w:val="clear" w:color="auto" w:fill="FFFFFF"/>
              </w:rPr>
              <w:t xml:space="preserve"> </w:t>
            </w:r>
            <w:proofErr w:type="spellStart"/>
            <w:r w:rsidRPr="002A1ADE">
              <w:rPr>
                <w:color w:val="000000"/>
                <w:shd w:val="clear" w:color="auto" w:fill="FFFFFF"/>
              </w:rPr>
              <w:t>ikrafttræden</w:t>
            </w:r>
            <w:proofErr w:type="spellEnd"/>
            <w:r w:rsidRPr="002A1ADE">
              <w:rPr>
                <w:color w:val="000000"/>
                <w:shd w:val="clear" w:color="auto" w:fill="FFFFFF"/>
              </w:rPr>
              <w:t xml:space="preserve"> for </w:t>
            </w:r>
            <w:proofErr w:type="spellStart"/>
            <w:r w:rsidRPr="002A1ADE">
              <w:rPr>
                <w:color w:val="000000"/>
                <w:shd w:val="clear" w:color="auto" w:fill="FFFFFF"/>
              </w:rPr>
              <w:t>Færøerne</w:t>
            </w:r>
            <w:proofErr w:type="spellEnd"/>
            <w:r w:rsidRPr="002A1ADE">
              <w:rPr>
                <w:color w:val="000000"/>
                <w:shd w:val="clear" w:color="auto" w:fill="FFFFFF"/>
              </w:rPr>
              <w:t xml:space="preserve"> </w:t>
            </w:r>
            <w:proofErr w:type="spellStart"/>
            <w:r w:rsidRPr="002A1ADE">
              <w:rPr>
                <w:color w:val="000000"/>
                <w:shd w:val="clear" w:color="auto" w:fill="FFFFFF"/>
              </w:rPr>
              <w:t>af</w:t>
            </w:r>
            <w:proofErr w:type="spellEnd"/>
            <w:r w:rsidRPr="002A1ADE">
              <w:rPr>
                <w:color w:val="000000"/>
                <w:shd w:val="clear" w:color="auto" w:fill="FFFFFF"/>
              </w:rPr>
              <w:t xml:space="preserve"> lov </w:t>
            </w:r>
            <w:proofErr w:type="spellStart"/>
            <w:r w:rsidRPr="002A1ADE">
              <w:rPr>
                <w:color w:val="000000"/>
                <w:shd w:val="clear" w:color="auto" w:fill="FFFFFF"/>
              </w:rPr>
              <w:t>om</w:t>
            </w:r>
            <w:proofErr w:type="spellEnd"/>
            <w:r w:rsidRPr="002A1ADE">
              <w:rPr>
                <w:color w:val="000000"/>
                <w:shd w:val="clear" w:color="auto" w:fill="FFFFFF"/>
              </w:rPr>
              <w:t xml:space="preserve"> </w:t>
            </w:r>
            <w:proofErr w:type="spellStart"/>
            <w:r w:rsidRPr="002A1ADE">
              <w:rPr>
                <w:color w:val="000000"/>
                <w:shd w:val="clear" w:color="auto" w:fill="FFFFFF"/>
              </w:rPr>
              <w:t>visse</w:t>
            </w:r>
            <w:proofErr w:type="spellEnd"/>
            <w:r w:rsidRPr="002A1ADE">
              <w:rPr>
                <w:color w:val="000000"/>
                <w:shd w:val="clear" w:color="auto" w:fill="FFFFFF"/>
              </w:rPr>
              <w:t xml:space="preserve"> </w:t>
            </w:r>
            <w:proofErr w:type="spellStart"/>
            <w:r w:rsidRPr="002A1ADE">
              <w:rPr>
                <w:color w:val="000000"/>
                <w:shd w:val="clear" w:color="auto" w:fill="FFFFFF"/>
              </w:rPr>
              <w:t>erhvervsdrivende</w:t>
            </w:r>
            <w:proofErr w:type="spellEnd"/>
            <w:r w:rsidRPr="002A1ADE">
              <w:rPr>
                <w:color w:val="000000"/>
                <w:shd w:val="clear" w:color="auto" w:fill="FFFFFF"/>
              </w:rPr>
              <w:t xml:space="preserve"> </w:t>
            </w:r>
            <w:proofErr w:type="spellStart"/>
            <w:r w:rsidRPr="002A1ADE">
              <w:rPr>
                <w:color w:val="000000"/>
                <w:shd w:val="clear" w:color="auto" w:fill="FFFFFF"/>
              </w:rPr>
              <w:t>virksomheder</w:t>
            </w:r>
            <w:proofErr w:type="spellEnd"/>
            <w:r w:rsidRPr="002A1ADE">
              <w:rPr>
                <w:color w:val="000000"/>
                <w:shd w:val="clear" w:color="auto" w:fill="FFFFFF"/>
              </w:rPr>
              <w:t xml:space="preserve"> (</w:t>
            </w:r>
            <w:proofErr w:type="spellStart"/>
            <w:r w:rsidRPr="002A1ADE">
              <w:rPr>
                <w:color w:val="000000"/>
                <w:shd w:val="clear" w:color="auto" w:fill="FFFFFF"/>
              </w:rPr>
              <w:t>Vinnufyritøkulógin</w:t>
            </w:r>
            <w:proofErr w:type="spellEnd"/>
            <w:r w:rsidRPr="002A1ADE">
              <w:rPr>
                <w:color w:val="000000"/>
                <w:shd w:val="clear" w:color="auto" w:fill="FFFFFF"/>
              </w:rPr>
              <w:t xml:space="preserve">), sum broytt við </w:t>
            </w:r>
            <w:r>
              <w:rPr>
                <w:color w:val="000000"/>
                <w:shd w:val="clear" w:color="auto" w:fill="FFFFFF"/>
              </w:rPr>
              <w:t xml:space="preserve">§ 3 í </w:t>
            </w:r>
            <w:r w:rsidRPr="002A1ADE">
              <w:rPr>
                <w:color w:val="000000"/>
                <w:shd w:val="clear" w:color="auto" w:fill="FFFFFF"/>
              </w:rPr>
              <w:t xml:space="preserve">løgtingslóg nr. 18 frá 8. mai 2008, </w:t>
            </w:r>
            <w:r>
              <w:rPr>
                <w:color w:val="000000"/>
                <w:shd w:val="clear" w:color="auto" w:fill="FFFFFF"/>
              </w:rPr>
              <w:t xml:space="preserve">§ 3 í </w:t>
            </w:r>
            <w:r w:rsidRPr="002A1ADE">
              <w:rPr>
                <w:color w:val="000000"/>
                <w:shd w:val="clear" w:color="auto" w:fill="FFFFFF"/>
              </w:rPr>
              <w:t xml:space="preserve">løgtingslóg nr. 52 frá 11. mai 2009, </w:t>
            </w:r>
            <w:r>
              <w:rPr>
                <w:color w:val="000000"/>
                <w:shd w:val="clear" w:color="auto" w:fill="FFFFFF"/>
              </w:rPr>
              <w:t xml:space="preserve">§ 2 í </w:t>
            </w:r>
            <w:r w:rsidRPr="002A1ADE">
              <w:rPr>
                <w:color w:val="000000"/>
                <w:shd w:val="clear" w:color="auto" w:fill="FFFFFF"/>
              </w:rPr>
              <w:t xml:space="preserve">løgtingslóg nr. 69 frá 27. mai 2011, </w:t>
            </w:r>
            <w:r>
              <w:rPr>
                <w:color w:val="000000"/>
                <w:shd w:val="clear" w:color="auto" w:fill="FFFFFF"/>
              </w:rPr>
              <w:t xml:space="preserve">§ 1 í </w:t>
            </w:r>
            <w:r w:rsidRPr="002A1ADE">
              <w:rPr>
                <w:color w:val="000000"/>
                <w:shd w:val="clear" w:color="auto" w:fill="FFFFFF"/>
              </w:rPr>
              <w:t xml:space="preserve">løgtingslóg nr. 25 frá 16. mars 2012 </w:t>
            </w:r>
            <w:r>
              <w:rPr>
                <w:color w:val="000000"/>
                <w:shd w:val="clear" w:color="auto" w:fill="FFFFFF"/>
              </w:rPr>
              <w:t xml:space="preserve">§ 1 í </w:t>
            </w:r>
            <w:r w:rsidRPr="002A1ADE">
              <w:rPr>
                <w:color w:val="000000"/>
                <w:shd w:val="clear" w:color="auto" w:fill="FFFFFF"/>
              </w:rPr>
              <w:t xml:space="preserve">løgtingslóg nr. 43 frá 6. mai 2016, </w:t>
            </w:r>
            <w:r>
              <w:rPr>
                <w:color w:val="000000"/>
                <w:shd w:val="clear" w:color="auto" w:fill="FFFFFF"/>
              </w:rPr>
              <w:t xml:space="preserve">§ 2 í </w:t>
            </w:r>
            <w:r w:rsidRPr="002A1ADE">
              <w:rPr>
                <w:color w:val="000000"/>
                <w:shd w:val="clear" w:color="auto" w:fill="FFFFFF"/>
              </w:rPr>
              <w:t xml:space="preserve">løgtingslóg nr. 45 frá 26. </w:t>
            </w:r>
            <w:r>
              <w:rPr>
                <w:color w:val="000000"/>
                <w:shd w:val="clear" w:color="auto" w:fill="FFFFFF"/>
              </w:rPr>
              <w:t>a</w:t>
            </w:r>
            <w:r w:rsidRPr="002A1ADE">
              <w:rPr>
                <w:color w:val="000000"/>
                <w:shd w:val="clear" w:color="auto" w:fill="FFFFFF"/>
              </w:rPr>
              <w:t>príl 2019,</w:t>
            </w:r>
            <w:r>
              <w:rPr>
                <w:color w:val="000000"/>
                <w:shd w:val="clear" w:color="auto" w:fill="FFFFFF"/>
              </w:rPr>
              <w:t xml:space="preserve"> § 2 í</w:t>
            </w:r>
            <w:r w:rsidRPr="002A1ADE">
              <w:rPr>
                <w:color w:val="000000"/>
                <w:shd w:val="clear" w:color="auto" w:fill="FFFFFF"/>
              </w:rPr>
              <w:t xml:space="preserve"> løgtingslóg nr. 57 frá 4 mai 2021</w:t>
            </w:r>
            <w:r>
              <w:rPr>
                <w:color w:val="000000"/>
                <w:shd w:val="clear" w:color="auto" w:fill="FFFFFF"/>
              </w:rPr>
              <w:t xml:space="preserve"> </w:t>
            </w:r>
            <w:r w:rsidRPr="002A1ADE">
              <w:rPr>
                <w:color w:val="000000"/>
                <w:shd w:val="clear" w:color="auto" w:fill="FFFFFF"/>
              </w:rPr>
              <w:t xml:space="preserve">og </w:t>
            </w:r>
            <w:r>
              <w:rPr>
                <w:color w:val="000000"/>
                <w:shd w:val="clear" w:color="auto" w:fill="FFFFFF"/>
              </w:rPr>
              <w:t xml:space="preserve">§ 20 í </w:t>
            </w:r>
            <w:r w:rsidRPr="002A1ADE">
              <w:rPr>
                <w:color w:val="000000"/>
                <w:shd w:val="clear" w:color="auto" w:fill="FFFFFF"/>
              </w:rPr>
              <w:t>løgtingslóg nr. 31 frá 17 mars 2022,</w:t>
            </w:r>
            <w:r>
              <w:rPr>
                <w:color w:val="000000"/>
                <w:shd w:val="clear" w:color="auto" w:fill="FFFFFF"/>
              </w:rPr>
              <w:t xml:space="preserve"> </w:t>
            </w:r>
            <w:r w:rsidRPr="002A1ADE">
              <w:rPr>
                <w:color w:val="000000"/>
                <w:shd w:val="clear" w:color="auto" w:fill="FFFFFF"/>
              </w:rPr>
              <w:t>verða gjørdar hesar broytingar</w:t>
            </w:r>
            <w:r>
              <w:rPr>
                <w:color w:val="000000"/>
                <w:shd w:val="clear" w:color="auto" w:fill="FFFFFF"/>
              </w:rPr>
              <w:t>:</w:t>
            </w:r>
          </w:p>
          <w:p w14:paraId="6C583B16" w14:textId="388A0177" w:rsidR="004346F9" w:rsidRDefault="004346F9" w:rsidP="00756C7C">
            <w:pPr>
              <w:jc w:val="center"/>
            </w:pPr>
          </w:p>
        </w:tc>
      </w:tr>
      <w:tr w:rsidR="00334F92" w14:paraId="099080E4" w14:textId="77777777" w:rsidTr="009B5EDE">
        <w:tc>
          <w:tcPr>
            <w:tcW w:w="4508" w:type="dxa"/>
          </w:tcPr>
          <w:p w14:paraId="15A458E9" w14:textId="77777777" w:rsidR="00334F92" w:rsidRDefault="00334F92" w:rsidP="00FF07E2"/>
        </w:tc>
        <w:tc>
          <w:tcPr>
            <w:tcW w:w="4508" w:type="dxa"/>
          </w:tcPr>
          <w:p w14:paraId="7A2EB9D1" w14:textId="650D4918" w:rsidR="002E32FD" w:rsidRDefault="002E32FD" w:rsidP="002E32FD">
            <w:pPr>
              <w:pStyle w:val="Listeafsnit"/>
              <w:numPr>
                <w:ilvl w:val="0"/>
                <w:numId w:val="6"/>
              </w:numPr>
            </w:pPr>
            <w:r>
              <w:t>§ 15 g verður orðað soleiðis:</w:t>
            </w:r>
          </w:p>
          <w:p w14:paraId="6D9B8B66" w14:textId="77777777" w:rsidR="002E32FD" w:rsidRDefault="002E32FD" w:rsidP="002E32FD">
            <w:pPr>
              <w:pStyle w:val="Listeafsnit"/>
              <w:ind w:left="643"/>
            </w:pPr>
          </w:p>
          <w:p w14:paraId="033FA74B" w14:textId="12AA522F" w:rsidR="002E32FD" w:rsidRPr="001D2CF3" w:rsidRDefault="002E32FD" w:rsidP="001D2CF3">
            <w:pPr>
              <w:rPr>
                <w:color w:val="000000"/>
                <w:shd w:val="clear" w:color="auto" w:fill="FFFFFF"/>
              </w:rPr>
            </w:pPr>
            <w:r>
              <w:t xml:space="preserve">“Ein fyritøka </w:t>
            </w:r>
            <w:r w:rsidRPr="001D2CF3">
              <w:rPr>
                <w:color w:val="000000"/>
                <w:shd w:val="clear" w:color="auto" w:fill="FFFFFF"/>
              </w:rPr>
              <w:t xml:space="preserve">, sum er fevnd av hesi lóg, undantikið einstaklingafyritøkur, skal savna upplýsingar um </w:t>
            </w:r>
            <w:proofErr w:type="spellStart"/>
            <w:r w:rsidRPr="001D2CF3">
              <w:rPr>
                <w:color w:val="000000"/>
                <w:shd w:val="clear" w:color="auto" w:fill="FFFFFF"/>
              </w:rPr>
              <w:t>fyritøkunnar</w:t>
            </w:r>
            <w:proofErr w:type="spellEnd"/>
            <w:r w:rsidRPr="001D2CF3">
              <w:rPr>
                <w:color w:val="000000"/>
                <w:shd w:val="clear" w:color="auto" w:fill="FFFFFF"/>
              </w:rPr>
              <w:t xml:space="preserve"> veruligu eigarar, sbr. § 15 h, </w:t>
            </w:r>
            <w:proofErr w:type="spellStart"/>
            <w:r w:rsidR="00DB2945">
              <w:t>heruppií</w:t>
            </w:r>
            <w:proofErr w:type="spellEnd"/>
            <w:r w:rsidR="00DB2945" w:rsidRPr="001D2CF3">
              <w:rPr>
                <w:color w:val="000000"/>
                <w:shd w:val="clear" w:color="auto" w:fill="FFFFFF"/>
              </w:rPr>
              <w:t xml:space="preserve"> </w:t>
            </w:r>
            <w:r w:rsidRPr="001D2CF3">
              <w:rPr>
                <w:color w:val="000000"/>
                <w:shd w:val="clear" w:color="auto" w:fill="FFFFFF"/>
              </w:rPr>
              <w:t>rættindi hjá teimum veruligu eigarunum.</w:t>
            </w:r>
          </w:p>
          <w:p w14:paraId="3C0196A1" w14:textId="77777777" w:rsidR="002E32FD" w:rsidRDefault="002E32FD" w:rsidP="002E32FD">
            <w:pPr>
              <w:pStyle w:val="Listeafsnit"/>
              <w:ind w:left="643"/>
              <w:rPr>
                <w:color w:val="000000"/>
                <w:shd w:val="clear" w:color="auto" w:fill="FFFFFF"/>
              </w:rPr>
            </w:pPr>
          </w:p>
          <w:p w14:paraId="23FC62AD" w14:textId="350E200E" w:rsidR="002E32FD" w:rsidRPr="001D2CF3" w:rsidRDefault="002E32FD" w:rsidP="001D2CF3">
            <w:pPr>
              <w:rPr>
                <w:color w:val="000000" w:themeColor="text1"/>
              </w:rPr>
            </w:pPr>
            <w:r w:rsidRPr="001D2CF3">
              <w:rPr>
                <w:i/>
                <w:iCs/>
                <w:color w:val="000000"/>
                <w:shd w:val="clear" w:color="auto" w:fill="FFFFFF"/>
              </w:rPr>
              <w:t>Stk. 2.</w:t>
            </w:r>
            <w:r w:rsidRPr="001D2CF3">
              <w:rPr>
                <w:color w:val="000000"/>
                <w:shd w:val="clear" w:color="auto" w:fill="FFFFFF"/>
              </w:rPr>
              <w:t xml:space="preserve"> </w:t>
            </w:r>
            <w:r w:rsidRPr="001D2CF3">
              <w:rPr>
                <w:color w:val="000000" w:themeColor="text1"/>
              </w:rPr>
              <w:t xml:space="preserve">Ein og hvør, sum beinleiðis ella óbeinleiðis eigur ella hevur ræði á fyritøkuni, skal eftir áheitan frá fyritøkuni lata fyritøkuni tær upplýsingar um </w:t>
            </w:r>
            <w:bookmarkStart w:id="7" w:name="_Hlk140740863"/>
            <w:r w:rsidRPr="001D2CF3">
              <w:rPr>
                <w:color w:val="000000" w:themeColor="text1"/>
              </w:rPr>
              <w:t xml:space="preserve">ognarviðurskiftini, sum eru neyðugar til tess, at fyritøkan kann eyðmerkja veruligu eigararnar, </w:t>
            </w:r>
            <w:proofErr w:type="spellStart"/>
            <w:r w:rsidR="00DB2945">
              <w:t>heruppií</w:t>
            </w:r>
            <w:proofErr w:type="spellEnd"/>
            <w:r w:rsidR="00DB2945" w:rsidRPr="001D2CF3">
              <w:rPr>
                <w:color w:val="000000" w:themeColor="text1"/>
              </w:rPr>
              <w:t xml:space="preserve"> </w:t>
            </w:r>
            <w:r w:rsidRPr="001D2CF3">
              <w:rPr>
                <w:color w:val="000000" w:themeColor="text1"/>
              </w:rPr>
              <w:t>rættindi hjá teimum veruligu eigarunum</w:t>
            </w:r>
            <w:bookmarkEnd w:id="7"/>
            <w:r w:rsidRPr="001D2CF3">
              <w:rPr>
                <w:color w:val="000000" w:themeColor="text1"/>
              </w:rPr>
              <w:t>.</w:t>
            </w:r>
          </w:p>
          <w:p w14:paraId="24625C91" w14:textId="77777777" w:rsidR="002E32FD" w:rsidRDefault="002E32FD" w:rsidP="002E32FD">
            <w:pPr>
              <w:pStyle w:val="Listeafsnit"/>
              <w:ind w:left="643"/>
            </w:pPr>
          </w:p>
          <w:p w14:paraId="6C85F8B8" w14:textId="0C19B849" w:rsidR="002E32FD" w:rsidRDefault="002E32FD" w:rsidP="001D2CF3">
            <w:r w:rsidRPr="001D2CF3">
              <w:rPr>
                <w:i/>
                <w:iCs/>
              </w:rPr>
              <w:t xml:space="preserve">Stk. 3. </w:t>
            </w:r>
            <w:r w:rsidRPr="00E9401B">
              <w:t>F</w:t>
            </w:r>
            <w:r>
              <w:t>yritøkan</w:t>
            </w:r>
            <w:r w:rsidRPr="00E9401B">
              <w:t xml:space="preserve"> skal skjótast gjørligt, eftir at </w:t>
            </w:r>
            <w:r>
              <w:t>fyritøkan</w:t>
            </w:r>
            <w:r w:rsidRPr="00E9401B">
              <w:t xml:space="preserve"> er</w:t>
            </w:r>
            <w:r>
              <w:t xml:space="preserve"> vorðin</w:t>
            </w:r>
            <w:r w:rsidRPr="00E9401B">
              <w:t xml:space="preserve"> kunnug við, at ein </w:t>
            </w:r>
            <w:r w:rsidRPr="00E9401B">
              <w:lastRenderedPageBreak/>
              <w:t xml:space="preserve">persónur er blivin veruligur eigari, </w:t>
            </w:r>
            <w:bookmarkStart w:id="8" w:name="_Hlk140740887"/>
            <w:r w:rsidRPr="00E9401B">
              <w:t>skráseta upplýsingarnar</w:t>
            </w:r>
            <w:r>
              <w:t xml:space="preserve">, </w:t>
            </w:r>
            <w:proofErr w:type="spellStart"/>
            <w:r w:rsidR="00DB2945">
              <w:t>heruppií</w:t>
            </w:r>
            <w:proofErr w:type="spellEnd"/>
            <w:r w:rsidR="00DB2945">
              <w:t xml:space="preserve"> </w:t>
            </w:r>
            <w:r>
              <w:t>upplýsingar um rættindini hjá teimum veruligu eigarunum</w:t>
            </w:r>
            <w:bookmarkEnd w:id="8"/>
            <w:r>
              <w:t>,</w:t>
            </w:r>
            <w:r w:rsidRPr="00E9401B">
              <w:t xml:space="preserve"> í </w:t>
            </w:r>
            <w:proofErr w:type="spellStart"/>
            <w:r w:rsidRPr="00E9401B">
              <w:t>kt-skipan</w:t>
            </w:r>
            <w:proofErr w:type="spellEnd"/>
            <w:r w:rsidRPr="00E9401B">
              <w:t xml:space="preserve"> Skráseting Føroya. Ein</w:t>
            </w:r>
            <w:r>
              <w:t xml:space="preserve"> og </w:t>
            </w:r>
            <w:r w:rsidRPr="00E9401B">
              <w:t xml:space="preserve">hvør </w:t>
            </w:r>
            <w:r>
              <w:t>broyting í teimum upplýsingum, sum eru skrásettar um veruligu eigararnar, skal skrásetast skjótast gjørligt eftir, at fyritøkan er vorið kunnugt við broytingina. Teir s</w:t>
            </w:r>
            <w:r w:rsidRPr="00E9401B">
              <w:t xml:space="preserve">krásettu limirnir í </w:t>
            </w:r>
            <w:r>
              <w:t>dagligu leiðslu</w:t>
            </w:r>
            <w:r w:rsidRPr="00E9401B">
              <w:t xml:space="preserve"> </w:t>
            </w:r>
            <w:proofErr w:type="spellStart"/>
            <w:r w:rsidRPr="00E9401B">
              <w:t>f</w:t>
            </w:r>
            <w:r>
              <w:t>yritøkunnar</w:t>
            </w:r>
            <w:proofErr w:type="spellEnd"/>
            <w:r w:rsidRPr="00E9401B">
              <w:t>, sbr. § 1</w:t>
            </w:r>
            <w:r>
              <w:t>1</w:t>
            </w:r>
            <w:r w:rsidRPr="00E9401B">
              <w:t xml:space="preserve">, stk. 1, skulu roknast og skrásetast í </w:t>
            </w:r>
            <w:proofErr w:type="spellStart"/>
            <w:r w:rsidRPr="00E9401B">
              <w:t>kt-skipan</w:t>
            </w:r>
            <w:proofErr w:type="spellEnd"/>
            <w:r w:rsidRPr="00E9401B">
              <w:t xml:space="preserve"> Skráseting Føroya, sum veruligir eigarar, um </w:t>
            </w:r>
            <w:r>
              <w:t>so er, at fyritøkan, eftir at hava troytt allar møguleikar fyri eyðmerking, eftir hetta ongar veruligar eigarar hevur, ella ongar veruligar eigarar kann eyðmerkja.</w:t>
            </w:r>
          </w:p>
          <w:p w14:paraId="6AA3A713" w14:textId="77777777" w:rsidR="002E32FD" w:rsidRDefault="002E32FD" w:rsidP="002E32FD">
            <w:pPr>
              <w:pStyle w:val="Listeafsnit"/>
              <w:ind w:left="643"/>
            </w:pPr>
          </w:p>
          <w:p w14:paraId="234D640A" w14:textId="77777777" w:rsidR="002E32FD" w:rsidRDefault="002E32FD" w:rsidP="001D2CF3">
            <w:r w:rsidRPr="001D2CF3">
              <w:rPr>
                <w:i/>
                <w:iCs/>
              </w:rPr>
              <w:t xml:space="preserve">Stk. 4. </w:t>
            </w:r>
            <w:r>
              <w:t xml:space="preserve">Fyritøkan skal í minsta lagi eina ferð um árið kanna, um broytingar skulu gerast í skrásettu upplýsingunum um veruligu eigararnar. Úrslitið av árligu kanningini skal leggjast fram á fundinum, har høvuðsleiðslan góðkennir </w:t>
            </w:r>
            <w:proofErr w:type="spellStart"/>
            <w:r>
              <w:t>ársfrásøgnina</w:t>
            </w:r>
            <w:proofErr w:type="spellEnd"/>
            <w:r>
              <w:t xml:space="preserve">, ella líknandi. </w:t>
            </w:r>
          </w:p>
          <w:p w14:paraId="6B0388D4" w14:textId="77777777" w:rsidR="002E32FD" w:rsidRDefault="002E32FD" w:rsidP="002E32FD">
            <w:pPr>
              <w:pStyle w:val="Listeafsnit"/>
              <w:ind w:left="643"/>
            </w:pPr>
          </w:p>
          <w:p w14:paraId="01A52BE0" w14:textId="77777777" w:rsidR="002E32FD" w:rsidRPr="001D2CF3" w:rsidRDefault="002E32FD" w:rsidP="001D2CF3">
            <w:pPr>
              <w:rPr>
                <w:color w:val="000000" w:themeColor="text1"/>
                <w:shd w:val="clear" w:color="auto" w:fill="FFFFFF"/>
              </w:rPr>
            </w:pPr>
            <w:r w:rsidRPr="001D2CF3">
              <w:rPr>
                <w:i/>
                <w:iCs/>
              </w:rPr>
              <w:t xml:space="preserve">Stk. 5. </w:t>
            </w:r>
            <w:r w:rsidRPr="001D2CF3">
              <w:rPr>
                <w:color w:val="000000" w:themeColor="text1"/>
                <w:shd w:val="clear" w:color="auto" w:fill="FFFFFF"/>
              </w:rPr>
              <w:t xml:space="preserve">Fyritøkan skal goyma upplýsingarnar um veruligu eigarar tess í fimm ár eftir, at veruligu eigaraviðurskiftini hildu uppat. Fyritøkan skal harumframt goyma skjalprógv </w:t>
            </w:r>
            <w:r>
              <w:t>fyri teimum savnaðu upplýsingunum um</w:t>
            </w:r>
            <w:r w:rsidRPr="001D2CF3">
              <w:rPr>
                <w:color w:val="000000" w:themeColor="text1"/>
                <w:shd w:val="clear" w:color="auto" w:fill="FFFFFF"/>
              </w:rPr>
              <w:t xml:space="preserve"> royndir at eyðmerkja veruligar eigarar í fimm ár eftir, at royndirnar at eyðmerkja vórðu framdar.</w:t>
            </w:r>
          </w:p>
          <w:p w14:paraId="3890D16B" w14:textId="77777777" w:rsidR="002E32FD" w:rsidRDefault="002E32FD" w:rsidP="002E32FD">
            <w:pPr>
              <w:pStyle w:val="Listeafsnit"/>
              <w:ind w:left="643"/>
            </w:pPr>
          </w:p>
          <w:p w14:paraId="26BED3AF" w14:textId="026A0922" w:rsidR="002E32FD" w:rsidRPr="001D2CF3" w:rsidRDefault="002E32FD" w:rsidP="001D2CF3">
            <w:pPr>
              <w:rPr>
                <w:color w:val="000000"/>
                <w:shd w:val="clear" w:color="auto" w:fill="FFFFFF"/>
              </w:rPr>
            </w:pPr>
            <w:r w:rsidRPr="001D2CF3">
              <w:rPr>
                <w:i/>
                <w:iCs/>
              </w:rPr>
              <w:t xml:space="preserve">Stk. 6. </w:t>
            </w:r>
            <w:r w:rsidRPr="001D2CF3">
              <w:rPr>
                <w:color w:val="000000"/>
                <w:shd w:val="clear" w:color="auto" w:fill="FFFFFF"/>
              </w:rPr>
              <w:t xml:space="preserve">Fyritøkan skal eftir áheitan lata upplýsingar til Føroya Landfúta um </w:t>
            </w:r>
            <w:proofErr w:type="spellStart"/>
            <w:r w:rsidRPr="001D2CF3">
              <w:rPr>
                <w:color w:val="000000"/>
                <w:shd w:val="clear" w:color="auto" w:fill="FFFFFF"/>
              </w:rPr>
              <w:t>fyritøkunnar</w:t>
            </w:r>
            <w:proofErr w:type="spellEnd"/>
            <w:r w:rsidRPr="001D2CF3">
              <w:rPr>
                <w:color w:val="000000"/>
                <w:shd w:val="clear" w:color="auto" w:fill="FFFFFF"/>
              </w:rPr>
              <w:t xml:space="preserve"> veruligu eigarar, </w:t>
            </w:r>
            <w:proofErr w:type="spellStart"/>
            <w:r w:rsidR="00DB2945">
              <w:t>heruppií</w:t>
            </w:r>
            <w:proofErr w:type="spellEnd"/>
            <w:r w:rsidR="00DB2945" w:rsidRPr="001D2CF3">
              <w:rPr>
                <w:color w:val="000000"/>
                <w:shd w:val="clear" w:color="auto" w:fill="FFFFFF"/>
              </w:rPr>
              <w:t xml:space="preserve"> </w:t>
            </w:r>
            <w:r w:rsidRPr="001D2CF3">
              <w:rPr>
                <w:color w:val="000000"/>
                <w:shd w:val="clear" w:color="auto" w:fill="FFFFFF"/>
              </w:rPr>
              <w:t xml:space="preserve">um royndir at eyðmerkja </w:t>
            </w:r>
            <w:proofErr w:type="spellStart"/>
            <w:r w:rsidRPr="001D2CF3">
              <w:rPr>
                <w:color w:val="000000"/>
                <w:shd w:val="clear" w:color="auto" w:fill="FFFFFF"/>
              </w:rPr>
              <w:t>fyritøkunnar</w:t>
            </w:r>
            <w:proofErr w:type="spellEnd"/>
            <w:r w:rsidRPr="001D2CF3">
              <w:rPr>
                <w:color w:val="000000"/>
                <w:shd w:val="clear" w:color="auto" w:fill="FFFFFF"/>
              </w:rPr>
              <w:t xml:space="preserve"> veruligu eigarar. Fyritøkan skal harumframt eftir áheitan lata nevndu upplýsingar til aðrar </w:t>
            </w:r>
            <w:proofErr w:type="spellStart"/>
            <w:r w:rsidRPr="001D2CF3">
              <w:rPr>
                <w:color w:val="000000"/>
                <w:shd w:val="clear" w:color="auto" w:fill="FFFFFF"/>
              </w:rPr>
              <w:t>málførar</w:t>
            </w:r>
            <w:proofErr w:type="spellEnd"/>
            <w:r w:rsidRPr="001D2CF3">
              <w:rPr>
                <w:color w:val="000000"/>
                <w:shd w:val="clear" w:color="auto" w:fill="FFFFFF"/>
              </w:rPr>
              <w:t xml:space="preserve"> myndugleikar, tá ið hesir myndugleikar meta, at upplýsingarnar eru neyðugar fyri røkt av eftirlits- ella </w:t>
            </w:r>
            <w:proofErr w:type="spellStart"/>
            <w:r w:rsidRPr="001D2CF3">
              <w:rPr>
                <w:color w:val="000000"/>
                <w:shd w:val="clear" w:color="auto" w:fill="FFFFFF"/>
              </w:rPr>
              <w:t>umsjónaruppgávum</w:t>
            </w:r>
            <w:proofErr w:type="spellEnd"/>
            <w:r w:rsidRPr="001D2CF3">
              <w:rPr>
                <w:color w:val="000000"/>
                <w:shd w:val="clear" w:color="auto" w:fill="FFFFFF"/>
              </w:rPr>
              <w:t xml:space="preserve"> teirra.</w:t>
            </w:r>
          </w:p>
          <w:p w14:paraId="01CBAF67" w14:textId="77777777" w:rsidR="002E32FD" w:rsidRDefault="002E32FD" w:rsidP="002E32FD">
            <w:pPr>
              <w:pStyle w:val="Listeafsnit"/>
              <w:ind w:left="643"/>
            </w:pPr>
          </w:p>
          <w:p w14:paraId="7E14B930" w14:textId="276974F6" w:rsidR="002E32FD" w:rsidRDefault="002E32FD" w:rsidP="001D2CF3">
            <w:r w:rsidRPr="001D2CF3">
              <w:rPr>
                <w:i/>
                <w:iCs/>
              </w:rPr>
              <w:t xml:space="preserve">Stk. 7. </w:t>
            </w:r>
            <w:bookmarkStart w:id="9" w:name="_Hlk143517170"/>
            <w:r>
              <w:t xml:space="preserve">Føroya Landfúti og aðrir málførir myndugleikar kunnu uttan viðurgjald lata  upplýsingar víðari um veruligar eigarar, sum eru skrásettar sambært stk. 3, ella sum eru savnaðar sambært stk. 6, til </w:t>
            </w:r>
            <w:proofErr w:type="spellStart"/>
            <w:r>
              <w:t>málførar</w:t>
            </w:r>
            <w:proofErr w:type="spellEnd"/>
            <w:r>
              <w:t xml:space="preserve"> </w:t>
            </w:r>
            <w:r>
              <w:lastRenderedPageBreak/>
              <w:t xml:space="preserve">myndugleikar og </w:t>
            </w:r>
            <w:proofErr w:type="spellStart"/>
            <w:r>
              <w:t>eftirlitsmyndugleikar</w:t>
            </w:r>
            <w:proofErr w:type="spellEnd"/>
            <w:r>
              <w:t xml:space="preserve"> á fíggjarøkinum í </w:t>
            </w:r>
            <w:proofErr w:type="spellStart"/>
            <w:r>
              <w:t>ES-limalondum</w:t>
            </w:r>
            <w:bookmarkEnd w:id="9"/>
            <w:proofErr w:type="spellEnd"/>
            <w:r>
              <w:t>.</w:t>
            </w:r>
          </w:p>
          <w:p w14:paraId="7C115E2C" w14:textId="77777777" w:rsidR="002E32FD" w:rsidRDefault="002E32FD" w:rsidP="002E32FD">
            <w:pPr>
              <w:pStyle w:val="Listeafsnit"/>
              <w:ind w:left="643"/>
            </w:pPr>
          </w:p>
          <w:p w14:paraId="4156B8F1" w14:textId="77777777" w:rsidR="002E32FD" w:rsidRPr="001D2CF3" w:rsidRDefault="002E32FD" w:rsidP="001D2CF3">
            <w:pPr>
              <w:rPr>
                <w:color w:val="000000"/>
                <w:shd w:val="clear" w:color="auto" w:fill="FFFFFF"/>
              </w:rPr>
            </w:pPr>
            <w:r w:rsidRPr="001D2CF3">
              <w:rPr>
                <w:i/>
                <w:iCs/>
              </w:rPr>
              <w:t xml:space="preserve">Stk. 8. </w:t>
            </w:r>
            <w:r w:rsidRPr="001D2CF3">
              <w:rPr>
                <w:color w:val="000000"/>
                <w:shd w:val="clear" w:color="auto" w:fill="FFFFFF"/>
              </w:rPr>
              <w:t xml:space="preserve">Stk. 1-7 verða ikki nýtt upp á fyritøkur, hvørs </w:t>
            </w:r>
            <w:proofErr w:type="spellStart"/>
            <w:r w:rsidRPr="001D2CF3">
              <w:rPr>
                <w:color w:val="000000"/>
                <w:shd w:val="clear" w:color="auto" w:fill="FFFFFF"/>
              </w:rPr>
              <w:t>eigarapartar</w:t>
            </w:r>
            <w:proofErr w:type="spellEnd"/>
            <w:r w:rsidRPr="001D2CF3">
              <w:rPr>
                <w:color w:val="000000"/>
                <w:shd w:val="clear" w:color="auto" w:fill="FFFFFF"/>
              </w:rPr>
              <w:t xml:space="preserve"> ella lánsbrøv verða </w:t>
            </w:r>
            <w:proofErr w:type="spellStart"/>
            <w:r w:rsidRPr="001D2CF3">
              <w:rPr>
                <w:color w:val="000000"/>
                <w:shd w:val="clear" w:color="auto" w:fill="FFFFFF"/>
              </w:rPr>
              <w:t>handlaðir</w:t>
            </w:r>
            <w:proofErr w:type="spellEnd"/>
            <w:r w:rsidRPr="001D2CF3">
              <w:rPr>
                <w:color w:val="000000"/>
                <w:shd w:val="clear" w:color="auto" w:fill="FFFFFF"/>
              </w:rPr>
              <w:t xml:space="preserve"> á einum </w:t>
            </w:r>
            <w:proofErr w:type="spellStart"/>
            <w:r w:rsidRPr="001D2CF3">
              <w:rPr>
                <w:color w:val="000000"/>
                <w:shd w:val="clear" w:color="auto" w:fill="FFFFFF"/>
              </w:rPr>
              <w:t>reguleraðum</w:t>
            </w:r>
            <w:proofErr w:type="spellEnd"/>
            <w:r w:rsidRPr="001D2CF3">
              <w:rPr>
                <w:color w:val="000000"/>
                <w:shd w:val="clear" w:color="auto" w:fill="FFFFFF"/>
              </w:rPr>
              <w:t xml:space="preserve"> marknaði ella samsvarandi marknaði, sum er álagdur upplýsingarskyldu samsvarandi </w:t>
            </w:r>
            <w:proofErr w:type="spellStart"/>
            <w:r w:rsidRPr="001D2CF3">
              <w:rPr>
                <w:color w:val="000000"/>
                <w:shd w:val="clear" w:color="auto" w:fill="FFFFFF"/>
              </w:rPr>
              <w:t>ES-rættinum</w:t>
            </w:r>
            <w:proofErr w:type="spellEnd"/>
            <w:r w:rsidRPr="001D2CF3">
              <w:rPr>
                <w:color w:val="000000"/>
                <w:shd w:val="clear" w:color="auto" w:fill="FFFFFF"/>
              </w:rPr>
              <w:t xml:space="preserve"> ella samsvarandi altjóða standardum.</w:t>
            </w:r>
          </w:p>
          <w:p w14:paraId="3701D23D" w14:textId="77777777" w:rsidR="002E32FD" w:rsidRDefault="002E32FD" w:rsidP="002E32FD">
            <w:pPr>
              <w:pStyle w:val="Listeafsnit"/>
              <w:ind w:left="643"/>
            </w:pPr>
          </w:p>
          <w:p w14:paraId="5BEB3C16" w14:textId="5428AB25" w:rsidR="002E32FD" w:rsidRDefault="002E32FD" w:rsidP="001D2CF3">
            <w:r w:rsidRPr="001D2CF3">
              <w:rPr>
                <w:i/>
                <w:iCs/>
              </w:rPr>
              <w:t xml:space="preserve">Stk. 9. </w:t>
            </w:r>
            <w:r>
              <w:t xml:space="preserve">Landsstýrismaðurin ásetur nærri reglur um skráseting, </w:t>
            </w:r>
            <w:proofErr w:type="spellStart"/>
            <w:r>
              <w:t>atkomu</w:t>
            </w:r>
            <w:proofErr w:type="spellEnd"/>
            <w:r>
              <w:t xml:space="preserve"> til og kunngering av upplýsingum eftir stk. 1, 3 og 5 í </w:t>
            </w:r>
            <w:proofErr w:type="spellStart"/>
            <w:r>
              <w:t>kt-skipan</w:t>
            </w:r>
            <w:proofErr w:type="spellEnd"/>
            <w:r>
              <w:t xml:space="preserve"> Skráseting Føroya, </w:t>
            </w:r>
            <w:proofErr w:type="spellStart"/>
            <w:r w:rsidR="00DB2945">
              <w:t>heruppií</w:t>
            </w:r>
            <w:proofErr w:type="spellEnd"/>
            <w:r w:rsidR="00DB2945">
              <w:t xml:space="preserve"> </w:t>
            </w:r>
            <w:r>
              <w:t xml:space="preserve">hvørjar upplýsingar fyritøkan skal skráseta í </w:t>
            </w:r>
            <w:proofErr w:type="spellStart"/>
            <w:r>
              <w:t>kt-skipanini</w:t>
            </w:r>
            <w:proofErr w:type="spellEnd"/>
            <w:r>
              <w:t>.”</w:t>
            </w:r>
          </w:p>
          <w:p w14:paraId="5CF3A1BC" w14:textId="6A6CEE3B" w:rsidR="00334F92" w:rsidRPr="00BE0197" w:rsidRDefault="002E32FD" w:rsidP="002E32FD">
            <w:pPr>
              <w:tabs>
                <w:tab w:val="left" w:pos="613"/>
                <w:tab w:val="left" w:pos="946"/>
              </w:tabs>
              <w:rPr>
                <w:b/>
                <w:bCs/>
              </w:rPr>
            </w:pPr>
            <w:r>
              <w:rPr>
                <w:b/>
                <w:bCs/>
              </w:rPr>
              <w:tab/>
            </w:r>
          </w:p>
        </w:tc>
      </w:tr>
      <w:tr w:rsidR="00334F92" w14:paraId="435ABD33" w14:textId="77777777" w:rsidTr="009B5EDE">
        <w:tc>
          <w:tcPr>
            <w:tcW w:w="4508" w:type="dxa"/>
          </w:tcPr>
          <w:p w14:paraId="07AD6B45" w14:textId="227AB063" w:rsidR="00334F92" w:rsidRDefault="002C76AC" w:rsidP="00FF07E2">
            <w:r>
              <w:lastRenderedPageBreak/>
              <w:t>Ásetingin er nýggj.</w:t>
            </w:r>
          </w:p>
        </w:tc>
        <w:tc>
          <w:tcPr>
            <w:tcW w:w="4508" w:type="dxa"/>
          </w:tcPr>
          <w:p w14:paraId="4B6DE873" w14:textId="1A71EF5C" w:rsidR="00D908B1" w:rsidRDefault="00D908B1" w:rsidP="00E20315">
            <w:pPr>
              <w:pStyle w:val="Listeafsnit"/>
              <w:numPr>
                <w:ilvl w:val="0"/>
                <w:numId w:val="6"/>
              </w:numPr>
            </w:pPr>
            <w:r>
              <w:t xml:space="preserve">Aftaná § 15 h verður sett: </w:t>
            </w:r>
          </w:p>
          <w:p w14:paraId="527B6BDA" w14:textId="77777777" w:rsidR="00D908B1" w:rsidRDefault="00D908B1" w:rsidP="00D908B1">
            <w:pPr>
              <w:pStyle w:val="Listeafsnit"/>
              <w:ind w:left="643"/>
              <w:rPr>
                <w:rStyle w:val="paragrafnr"/>
                <w:color w:val="212529"/>
                <w:shd w:val="clear" w:color="auto" w:fill="F9F9FB"/>
              </w:rPr>
            </w:pPr>
          </w:p>
          <w:p w14:paraId="63E56F7F" w14:textId="2CDEF7BB" w:rsidR="00D908B1" w:rsidRPr="001D2CF3" w:rsidRDefault="00D908B1" w:rsidP="001D2CF3">
            <w:pPr>
              <w:rPr>
                <w:color w:val="212529"/>
                <w:shd w:val="clear" w:color="auto" w:fill="F9F9FB"/>
              </w:rPr>
            </w:pPr>
            <w:r w:rsidRPr="001D2CF3">
              <w:rPr>
                <w:rStyle w:val="paragrafnr"/>
                <w:color w:val="212529"/>
                <w:shd w:val="clear" w:color="auto" w:fill="F9F9FB"/>
              </w:rPr>
              <w:t>“§ 15 i.</w:t>
            </w:r>
            <w:r w:rsidRPr="001D2CF3">
              <w:rPr>
                <w:color w:val="212529"/>
                <w:shd w:val="clear" w:color="auto" w:fill="F9F9FB"/>
              </w:rPr>
              <w:t xml:space="preserve"> Tá ið ein fyritøka við avmarkaðari ábyrgd, eitt íognarfelag ella eitt </w:t>
            </w:r>
            <w:proofErr w:type="spellStart"/>
            <w:r w:rsidRPr="001D2CF3">
              <w:rPr>
                <w:color w:val="212529"/>
                <w:shd w:val="clear" w:color="auto" w:fill="F9F9FB"/>
              </w:rPr>
              <w:t>kommanditfelag</w:t>
            </w:r>
            <w:proofErr w:type="spellEnd"/>
            <w:r w:rsidRPr="001D2CF3">
              <w:rPr>
                <w:color w:val="212529"/>
                <w:shd w:val="clear" w:color="auto" w:fill="F9F9FB"/>
              </w:rPr>
              <w:t xml:space="preserve"> verður stovnað, skulu upplýsingar um </w:t>
            </w:r>
            <w:proofErr w:type="spellStart"/>
            <w:r w:rsidRPr="001D2CF3">
              <w:rPr>
                <w:color w:val="212529"/>
                <w:shd w:val="clear" w:color="auto" w:fill="F9F9FB"/>
              </w:rPr>
              <w:t>fyritøkunnar</w:t>
            </w:r>
            <w:proofErr w:type="spellEnd"/>
            <w:r w:rsidRPr="001D2CF3">
              <w:rPr>
                <w:color w:val="212529"/>
                <w:shd w:val="clear" w:color="auto" w:fill="F9F9FB"/>
              </w:rPr>
              <w:t xml:space="preserve"> veruligu eigarar, </w:t>
            </w:r>
            <w:proofErr w:type="spellStart"/>
            <w:r w:rsidR="00DB2945">
              <w:t>heruppií</w:t>
            </w:r>
            <w:proofErr w:type="spellEnd"/>
            <w:r w:rsidR="00DB2945" w:rsidRPr="001D2CF3">
              <w:rPr>
                <w:color w:val="212529"/>
                <w:shd w:val="clear" w:color="auto" w:fill="F9F9FB"/>
              </w:rPr>
              <w:t xml:space="preserve"> </w:t>
            </w:r>
            <w:r w:rsidRPr="001D2CF3">
              <w:rPr>
                <w:color w:val="212529"/>
                <w:shd w:val="clear" w:color="auto" w:fill="F9F9FB"/>
              </w:rPr>
              <w:t>rættindi hjá teimum veruligu eigarunum, savnast og skrásetast í seinasta lagi samstundis við skrásetingina av fyritøkuni, sbrt. § 10.</w:t>
            </w:r>
            <w:r w:rsidRPr="007424C0">
              <w:t xml:space="preserve"> Hevur fyritøkan við avmarkaðari ábyrgd, íognarfelagið ella </w:t>
            </w:r>
            <w:proofErr w:type="spellStart"/>
            <w:r w:rsidRPr="007424C0">
              <w:t>kommanditfelagið</w:t>
            </w:r>
            <w:proofErr w:type="spellEnd"/>
            <w:r w:rsidRPr="007424C0">
              <w:t xml:space="preserve"> ongar veruligar eigarar, ella kunnu </w:t>
            </w:r>
            <w:r w:rsidRPr="001D2CF3">
              <w:rPr>
                <w:bCs/>
              </w:rPr>
              <w:t xml:space="preserve">veruligu eigararnir ikki </w:t>
            </w:r>
            <w:proofErr w:type="spellStart"/>
            <w:r w:rsidRPr="001D2CF3">
              <w:rPr>
                <w:bCs/>
              </w:rPr>
              <w:t>eyðmerkjast</w:t>
            </w:r>
            <w:proofErr w:type="spellEnd"/>
            <w:r w:rsidRPr="001D2CF3">
              <w:rPr>
                <w:bCs/>
              </w:rPr>
              <w:t xml:space="preserve">, skal hetta somuleiðis skrásetast í seinasta lagi samstundis við skrásetingina av fyritøkuni við avmarkaðari ábyrgd, íognarfelagið ella </w:t>
            </w:r>
            <w:proofErr w:type="spellStart"/>
            <w:r w:rsidRPr="001D2CF3">
              <w:rPr>
                <w:bCs/>
              </w:rPr>
              <w:t>kommanditfelagið</w:t>
            </w:r>
            <w:proofErr w:type="spellEnd"/>
            <w:r w:rsidRPr="001D2CF3">
              <w:rPr>
                <w:bCs/>
              </w:rPr>
              <w:t>.</w:t>
            </w:r>
            <w:r w:rsidRPr="001D2CF3">
              <w:rPr>
                <w:color w:val="212529"/>
                <w:shd w:val="clear" w:color="auto" w:fill="F9F9FB"/>
              </w:rPr>
              <w:t>”</w:t>
            </w:r>
          </w:p>
          <w:p w14:paraId="22F8F1A3" w14:textId="77777777" w:rsidR="00334F92" w:rsidRDefault="00334F92" w:rsidP="00FF07E2"/>
        </w:tc>
      </w:tr>
      <w:tr w:rsidR="00334F92" w14:paraId="1E3CC208" w14:textId="77777777" w:rsidTr="009B5EDE">
        <w:tc>
          <w:tcPr>
            <w:tcW w:w="4508" w:type="dxa"/>
          </w:tcPr>
          <w:p w14:paraId="0B193635" w14:textId="03B55353" w:rsidR="00334F92" w:rsidRDefault="002C76AC" w:rsidP="00FF07E2">
            <w:r>
              <w:t>Ásetingin er nýggj.</w:t>
            </w:r>
          </w:p>
        </w:tc>
        <w:tc>
          <w:tcPr>
            <w:tcW w:w="4508" w:type="dxa"/>
          </w:tcPr>
          <w:p w14:paraId="7D8633A0" w14:textId="77777777" w:rsidR="002C76AC" w:rsidRDefault="002C76AC" w:rsidP="002C76AC">
            <w:pPr>
              <w:pStyle w:val="Listeafsnit"/>
              <w:numPr>
                <w:ilvl w:val="0"/>
                <w:numId w:val="6"/>
              </w:numPr>
              <w:rPr>
                <w:bCs/>
              </w:rPr>
            </w:pPr>
            <w:r w:rsidRPr="00745664">
              <w:rPr>
                <w:bCs/>
              </w:rPr>
              <w:t>Aftaná § 15 i, áðrenn yvirskriftina “</w:t>
            </w:r>
            <w:r w:rsidRPr="00745664">
              <w:rPr>
                <w:bCs/>
                <w:i/>
                <w:iCs/>
              </w:rPr>
              <w:t>freistir</w:t>
            </w:r>
            <w:r w:rsidRPr="00745664">
              <w:rPr>
                <w:bCs/>
              </w:rPr>
              <w:t>”, verður sett:</w:t>
            </w:r>
          </w:p>
          <w:p w14:paraId="20777CD5" w14:textId="77777777" w:rsidR="002C76AC" w:rsidRDefault="002C76AC" w:rsidP="002C76AC">
            <w:pPr>
              <w:pStyle w:val="Listeafsnit"/>
              <w:ind w:left="643"/>
              <w:rPr>
                <w:bCs/>
              </w:rPr>
            </w:pPr>
          </w:p>
          <w:p w14:paraId="22FCCD06" w14:textId="77777777" w:rsidR="002C76AC" w:rsidRDefault="002C76AC" w:rsidP="001D2CF3">
            <w:r w:rsidRPr="001D2CF3">
              <w:rPr>
                <w:bCs/>
              </w:rPr>
              <w:t>“§ 15. j.</w:t>
            </w:r>
            <w:r w:rsidRPr="001D2CF3">
              <w:rPr>
                <w:b/>
              </w:rPr>
              <w:t xml:space="preserve"> </w:t>
            </w:r>
            <w:r>
              <w:t xml:space="preserve">Fyritøkur, sum skulu savna, varðveita og skráseta upplýsingar um veruligar eigarar, sbrt. § 15 g, skulu eftir áheitan útvega persónum og fyritøkum, sum sambært </w:t>
            </w:r>
            <w:proofErr w:type="spellStart"/>
            <w:r>
              <w:t>hvítvasklóggávuni</w:t>
            </w:r>
            <w:proofErr w:type="spellEnd"/>
            <w:r>
              <w:t xml:space="preserve"> hava skyldu til at gera </w:t>
            </w:r>
            <w:proofErr w:type="spellStart"/>
            <w:r>
              <w:t>kundakunnleikamannagongdir</w:t>
            </w:r>
            <w:proofErr w:type="spellEnd"/>
            <w:r>
              <w:t xml:space="preserve">, upplýsingar um eigaraviðurskifti </w:t>
            </w:r>
            <w:proofErr w:type="spellStart"/>
            <w:r>
              <w:t>fyritøkunnar</w:t>
            </w:r>
            <w:proofErr w:type="spellEnd"/>
            <w:r>
              <w:t xml:space="preserve">. </w:t>
            </w:r>
          </w:p>
          <w:p w14:paraId="57522A42" w14:textId="77777777" w:rsidR="002C76AC" w:rsidRDefault="002C76AC" w:rsidP="002C76AC">
            <w:pPr>
              <w:pStyle w:val="Listeafsnit"/>
              <w:ind w:left="643"/>
              <w:rPr>
                <w:i/>
                <w:iCs/>
              </w:rPr>
            </w:pPr>
          </w:p>
          <w:p w14:paraId="062BFFF8" w14:textId="77777777" w:rsidR="002C76AC" w:rsidRDefault="002C76AC" w:rsidP="001D2CF3">
            <w:r w:rsidRPr="001D2CF3">
              <w:rPr>
                <w:i/>
                <w:iCs/>
              </w:rPr>
              <w:lastRenderedPageBreak/>
              <w:t xml:space="preserve">Stk. 2. </w:t>
            </w:r>
            <w:r>
              <w:t xml:space="preserve">Fær Skráseting Føroya fráboðan sambært </w:t>
            </w:r>
            <w:proofErr w:type="spellStart"/>
            <w:r>
              <w:t>hvítvasklóggávuni</w:t>
            </w:r>
            <w:proofErr w:type="spellEnd"/>
            <w:r>
              <w:t xml:space="preserve">, um ósamsvar í skrásettu upplýsingunum um </w:t>
            </w:r>
            <w:proofErr w:type="spellStart"/>
            <w:r>
              <w:t>fyritøkunnar</w:t>
            </w:r>
            <w:proofErr w:type="spellEnd"/>
            <w:r>
              <w:t xml:space="preserve"> veruligu eigarar, setur Skráseting Føroya eina kanning í verk, sbrt. § 15 g, stk. 5, av hesum viðurskiftum. Skráseting Føroya kann mótvegis fyritøkuni áseta eina freist fyri rætting av upplýsingunum.  </w:t>
            </w:r>
          </w:p>
          <w:p w14:paraId="61078656" w14:textId="77777777" w:rsidR="002C76AC" w:rsidRDefault="002C76AC" w:rsidP="002C76AC">
            <w:pPr>
              <w:pStyle w:val="Listeafsnit"/>
              <w:ind w:left="643"/>
              <w:rPr>
                <w:i/>
                <w:iCs/>
              </w:rPr>
            </w:pPr>
          </w:p>
          <w:p w14:paraId="78B988C0" w14:textId="77777777" w:rsidR="002C76AC" w:rsidRPr="001D2CF3" w:rsidRDefault="002C76AC" w:rsidP="001D2CF3">
            <w:pPr>
              <w:rPr>
                <w:color w:val="000000"/>
                <w:shd w:val="clear" w:color="auto" w:fill="FFFFFF"/>
              </w:rPr>
            </w:pPr>
            <w:r w:rsidRPr="001D2CF3">
              <w:rPr>
                <w:i/>
                <w:iCs/>
              </w:rPr>
              <w:t xml:space="preserve">Stk. 3. </w:t>
            </w:r>
            <w:r>
              <w:t xml:space="preserve">Skráseting Føroya kann samstundis sum kanningin eftir stk. 2 verður gjørd, almannakunngera eina frágreiðing um fráboðanina í </w:t>
            </w:r>
            <w:proofErr w:type="spellStart"/>
            <w:r w:rsidRPr="001D2CF3">
              <w:rPr>
                <w:color w:val="000000"/>
                <w:shd w:val="clear" w:color="auto" w:fill="FFFFFF"/>
              </w:rPr>
              <w:t>kt-skipan</w:t>
            </w:r>
            <w:proofErr w:type="spellEnd"/>
            <w:r w:rsidRPr="001D2CF3">
              <w:rPr>
                <w:color w:val="000000"/>
                <w:shd w:val="clear" w:color="auto" w:fill="FFFFFF"/>
              </w:rPr>
              <w:t xml:space="preserve"> Skráseting Føroya. Fyritøkan skal hava møguleika til at mótmæla fráboðanina, áðrenn hon verður almannakunngjørd, uttan so at endamálið við almannakunngerð av frágreiðingini um fráboðanina fer fyri skeytið.”</w:t>
            </w:r>
          </w:p>
          <w:p w14:paraId="61413936" w14:textId="77777777" w:rsidR="00334F92" w:rsidRDefault="00334F92" w:rsidP="00FF07E2"/>
        </w:tc>
      </w:tr>
      <w:tr w:rsidR="00334F92" w14:paraId="3B8A2E81" w14:textId="77777777" w:rsidTr="009B5EDE">
        <w:tc>
          <w:tcPr>
            <w:tcW w:w="4508" w:type="dxa"/>
          </w:tcPr>
          <w:p w14:paraId="60412265" w14:textId="4D39137A" w:rsidR="000D619F" w:rsidRPr="000D619F" w:rsidRDefault="000D619F" w:rsidP="000D619F">
            <w:pPr>
              <w:pStyle w:val="paragraftekst"/>
              <w:rPr>
                <w:lang w:val="fo-FO"/>
              </w:rPr>
            </w:pPr>
            <w:r w:rsidRPr="000D619F">
              <w:rPr>
                <w:b/>
                <w:bCs/>
                <w:spacing w:val="3"/>
                <w:lang w:val="fo-FO"/>
              </w:rPr>
              <w:lastRenderedPageBreak/>
              <w:t>§ 21.</w:t>
            </w:r>
            <w:r w:rsidRPr="000D619F">
              <w:rPr>
                <w:spacing w:val="3"/>
                <w:lang w:val="fo-FO"/>
              </w:rPr>
              <w:t xml:space="preserve"> </w:t>
            </w:r>
            <w:r>
              <w:rPr>
                <w:spacing w:val="3"/>
                <w:lang w:val="fo-FO"/>
              </w:rPr>
              <w:t xml:space="preserve">Skráseting Føroya kann biðja skiftirættin um at avtaka eitt virki við avmarkaðari ábyrgd, um </w:t>
            </w:r>
          </w:p>
          <w:p w14:paraId="3DD164D8" w14:textId="77777777" w:rsidR="000D619F" w:rsidRPr="000D619F" w:rsidRDefault="000D619F" w:rsidP="000D619F">
            <w:pPr>
              <w:pStyle w:val="nummer"/>
              <w:rPr>
                <w:lang w:val="fo-FO"/>
              </w:rPr>
            </w:pPr>
            <w:r>
              <w:rPr>
                <w:lang w:val="fo-FO"/>
              </w:rPr>
              <w:t>1)   virkið ikki longur yvirheldur § 3 í lógini,</w:t>
            </w:r>
          </w:p>
          <w:p w14:paraId="25167861" w14:textId="77777777" w:rsidR="000D619F" w:rsidRPr="000D619F" w:rsidRDefault="000D619F" w:rsidP="000D619F">
            <w:pPr>
              <w:pStyle w:val="nummer"/>
              <w:rPr>
                <w:lang w:val="fo-FO"/>
              </w:rPr>
            </w:pPr>
            <w:r>
              <w:rPr>
                <w:lang w:val="fo-FO"/>
              </w:rPr>
              <w:t>2)   virkið ikki hevur ta leiðslu ella tann heimstað, sum er ásettur í lógini ella í viðtøkum virkisins,</w:t>
            </w:r>
          </w:p>
          <w:p w14:paraId="6A14E6C5" w14:textId="77777777" w:rsidR="000D619F" w:rsidRPr="000D619F" w:rsidRDefault="000D619F" w:rsidP="000D619F">
            <w:pPr>
              <w:pStyle w:val="nummer"/>
              <w:rPr>
                <w:lang w:val="fo-FO"/>
              </w:rPr>
            </w:pPr>
            <w:r>
              <w:rPr>
                <w:lang w:val="fo-FO"/>
              </w:rPr>
              <w:t xml:space="preserve">3)   virkið ikki hevur fráboðað ein grannskoðara, hóast virkið er fevnt av </w:t>
            </w:r>
            <w:proofErr w:type="spellStart"/>
            <w:r>
              <w:rPr>
                <w:lang w:val="fo-FO"/>
              </w:rPr>
              <w:t>grannskoðanarskyldu</w:t>
            </w:r>
            <w:proofErr w:type="spellEnd"/>
            <w:r>
              <w:rPr>
                <w:lang w:val="fo-FO"/>
              </w:rPr>
              <w:t xml:space="preserve"> eftir ársroknskaparlógini ella eftir aðrari lóggávu,</w:t>
            </w:r>
          </w:p>
          <w:p w14:paraId="3EE602FC" w14:textId="77777777" w:rsidR="000D619F" w:rsidRPr="000D619F" w:rsidRDefault="000D619F" w:rsidP="000D619F">
            <w:pPr>
              <w:pStyle w:val="nummer"/>
              <w:rPr>
                <w:lang w:val="fo-FO"/>
              </w:rPr>
            </w:pPr>
            <w:r>
              <w:rPr>
                <w:lang w:val="fo-FO"/>
              </w:rPr>
              <w:t xml:space="preserve">4)   virkið ikki hevur fráboðað ein grannskoðara, hóast aðalfundurin ella samsvarandi evsti myndugleiki annars hevur tikið avgerð um, at </w:t>
            </w:r>
            <w:proofErr w:type="spellStart"/>
            <w:r>
              <w:rPr>
                <w:lang w:val="fo-FO"/>
              </w:rPr>
              <w:t>ársfrásøgn</w:t>
            </w:r>
            <w:proofErr w:type="spellEnd"/>
            <w:r>
              <w:rPr>
                <w:lang w:val="fo-FO"/>
              </w:rPr>
              <w:t xml:space="preserve"> virkisins skal grannskoðast,</w:t>
            </w:r>
          </w:p>
          <w:p w14:paraId="190D5B36" w14:textId="77777777" w:rsidR="000D619F" w:rsidRPr="000D619F" w:rsidRDefault="000D619F" w:rsidP="000D619F">
            <w:pPr>
              <w:pStyle w:val="nummer"/>
              <w:rPr>
                <w:lang w:val="fo-FO"/>
              </w:rPr>
            </w:pPr>
            <w:r>
              <w:rPr>
                <w:lang w:val="fo-FO"/>
              </w:rPr>
              <w:t>5)   Skráseting Føroya ikki rættstundis hevur móttikið váttan eftir § 10, stk. 5, 2. pkt. ella</w:t>
            </w:r>
          </w:p>
          <w:p w14:paraId="1BEC7896" w14:textId="4E5493B6" w:rsidR="004A5E8D" w:rsidRPr="004A5E8D" w:rsidRDefault="000D619F" w:rsidP="004A5E8D">
            <w:pPr>
              <w:pStyle w:val="nummer"/>
              <w:rPr>
                <w:lang w:val="fo-FO"/>
              </w:rPr>
            </w:pPr>
            <w:r>
              <w:rPr>
                <w:lang w:val="fo-FO"/>
              </w:rPr>
              <w:t xml:space="preserve">6)   Skráseting Føroya ikki rættstundis hevur móttikið </w:t>
            </w:r>
            <w:proofErr w:type="spellStart"/>
            <w:r>
              <w:rPr>
                <w:lang w:val="fo-FO"/>
              </w:rPr>
              <w:t>ársfrásøgn</w:t>
            </w:r>
            <w:proofErr w:type="spellEnd"/>
            <w:r>
              <w:rPr>
                <w:lang w:val="fo-FO"/>
              </w:rPr>
              <w:t xml:space="preserve"> sambært ársroknskaparlógini, ella </w:t>
            </w:r>
            <w:proofErr w:type="spellStart"/>
            <w:r>
              <w:rPr>
                <w:lang w:val="fo-FO"/>
              </w:rPr>
              <w:t>undantaksváttan</w:t>
            </w:r>
            <w:proofErr w:type="spellEnd"/>
            <w:r>
              <w:rPr>
                <w:lang w:val="fo-FO"/>
              </w:rPr>
              <w:t xml:space="preserve"> sambært ársroknskaparlógini.</w:t>
            </w:r>
          </w:p>
        </w:tc>
        <w:tc>
          <w:tcPr>
            <w:tcW w:w="4508" w:type="dxa"/>
          </w:tcPr>
          <w:p w14:paraId="7EBEE910" w14:textId="77777777" w:rsidR="006333F9" w:rsidRDefault="006333F9" w:rsidP="006333F9">
            <w:pPr>
              <w:pStyle w:val="Listeafsnit"/>
              <w:numPr>
                <w:ilvl w:val="0"/>
                <w:numId w:val="6"/>
              </w:numPr>
              <w:rPr>
                <w:bCs/>
              </w:rPr>
            </w:pPr>
            <w:r w:rsidRPr="002F2A0B">
              <w:rPr>
                <w:bCs/>
              </w:rPr>
              <w:t>Í § 21, stk. 1 verða sum nýggj nummur sett:</w:t>
            </w:r>
          </w:p>
          <w:p w14:paraId="7CFFFCDA" w14:textId="77777777" w:rsidR="006333F9" w:rsidRPr="002F2A0B" w:rsidRDefault="006333F9" w:rsidP="006333F9">
            <w:pPr>
              <w:pStyle w:val="Listeafsnit"/>
              <w:ind w:left="643"/>
              <w:rPr>
                <w:bCs/>
              </w:rPr>
            </w:pPr>
          </w:p>
          <w:p w14:paraId="039422B9" w14:textId="4DD41498" w:rsidR="006333F9" w:rsidRPr="001D2CF3" w:rsidRDefault="006333F9" w:rsidP="001D2CF3">
            <w:pPr>
              <w:rPr>
                <w:bCs/>
              </w:rPr>
            </w:pPr>
            <w:r w:rsidRPr="001D2CF3">
              <w:rPr>
                <w:bCs/>
              </w:rPr>
              <w:t>“</w:t>
            </w:r>
            <w:r w:rsidR="00D65C85" w:rsidRPr="001D2CF3">
              <w:rPr>
                <w:bCs/>
              </w:rPr>
              <w:t>3</w:t>
            </w:r>
            <w:r w:rsidRPr="001D2CF3">
              <w:rPr>
                <w:bCs/>
              </w:rPr>
              <w:t xml:space="preserve">) virkið ikki hevur skrásett upplýsingar um veruligu eigarar virkisins ella virkið hevur skrásett ófullkomnar upplýsingar, sbrt. § 15 g, </w:t>
            </w:r>
          </w:p>
          <w:p w14:paraId="6504B97E" w14:textId="77777777" w:rsidR="006333F9" w:rsidRPr="00CA7926" w:rsidRDefault="006333F9" w:rsidP="006333F9">
            <w:pPr>
              <w:pStyle w:val="Listeafsnit"/>
              <w:ind w:left="643"/>
              <w:rPr>
                <w:bCs/>
              </w:rPr>
            </w:pPr>
          </w:p>
          <w:p w14:paraId="014D1003" w14:textId="594B57D9" w:rsidR="006333F9" w:rsidRPr="001D2CF3" w:rsidRDefault="00D65C85" w:rsidP="001D2CF3">
            <w:pPr>
              <w:rPr>
                <w:bCs/>
              </w:rPr>
            </w:pPr>
            <w:r w:rsidRPr="001D2CF3">
              <w:rPr>
                <w:bCs/>
              </w:rPr>
              <w:t>4</w:t>
            </w:r>
            <w:r w:rsidR="006333F9" w:rsidRPr="001D2CF3">
              <w:rPr>
                <w:bCs/>
              </w:rPr>
              <w:t xml:space="preserve">) virkið ikki hevur goymt skjalprógv um upplýsingar um veruligu eigarar virkisins ella virkið hevur goymt ófullkomið skjalprógv, sbrt. § 15 g,”   </w:t>
            </w:r>
          </w:p>
          <w:p w14:paraId="046BF286" w14:textId="77777777" w:rsidR="006333F9" w:rsidRDefault="006333F9" w:rsidP="006333F9">
            <w:pPr>
              <w:pStyle w:val="Listeafsnit"/>
              <w:ind w:left="643"/>
              <w:rPr>
                <w:bCs/>
              </w:rPr>
            </w:pPr>
          </w:p>
          <w:p w14:paraId="3C43B155" w14:textId="1B8B56C3" w:rsidR="006333F9" w:rsidRPr="001D2CF3" w:rsidRDefault="006333F9" w:rsidP="001D2CF3">
            <w:pPr>
              <w:rPr>
                <w:bCs/>
              </w:rPr>
            </w:pPr>
            <w:r w:rsidRPr="001D2CF3">
              <w:rPr>
                <w:rFonts w:eastAsia="Times New Roman"/>
              </w:rPr>
              <w:t xml:space="preserve">Nr. </w:t>
            </w:r>
            <w:r w:rsidR="006606D7" w:rsidRPr="001D2CF3">
              <w:rPr>
                <w:rFonts w:eastAsia="Times New Roman"/>
              </w:rPr>
              <w:t>3, 4, 5</w:t>
            </w:r>
            <w:r w:rsidRPr="001D2CF3">
              <w:rPr>
                <w:rFonts w:eastAsia="Times New Roman"/>
              </w:rPr>
              <w:t xml:space="preserve"> og 6 verða síðani nr. </w:t>
            </w:r>
            <w:r w:rsidR="002F4B04" w:rsidRPr="001D2CF3">
              <w:rPr>
                <w:rFonts w:eastAsia="Times New Roman"/>
              </w:rPr>
              <w:t xml:space="preserve">5, </w:t>
            </w:r>
            <w:r w:rsidRPr="001D2CF3">
              <w:rPr>
                <w:rFonts w:eastAsia="Times New Roman"/>
              </w:rPr>
              <w:t xml:space="preserve">6, 7 og 8. </w:t>
            </w:r>
          </w:p>
          <w:p w14:paraId="59DAD780" w14:textId="77777777" w:rsidR="00334F92" w:rsidRDefault="00334F92" w:rsidP="00FF07E2"/>
        </w:tc>
      </w:tr>
      <w:tr w:rsidR="00334F92" w14:paraId="0B9B9284" w14:textId="77777777" w:rsidTr="009B5EDE">
        <w:tc>
          <w:tcPr>
            <w:tcW w:w="4508" w:type="dxa"/>
          </w:tcPr>
          <w:p w14:paraId="03CAD3DE" w14:textId="1C94552B" w:rsidR="005235E3" w:rsidRPr="005235E3" w:rsidRDefault="005235E3" w:rsidP="005235E3">
            <w:pPr>
              <w:pStyle w:val="paragraftekst"/>
              <w:rPr>
                <w:lang w:val="fo-FO"/>
              </w:rPr>
            </w:pPr>
            <w:r>
              <w:rPr>
                <w:b/>
                <w:bCs/>
              </w:rPr>
              <w:t xml:space="preserve">§ 23. </w:t>
            </w:r>
            <w:r>
              <w:rPr>
                <w:i/>
                <w:iCs/>
              </w:rPr>
              <w:t>stk. 1.</w:t>
            </w:r>
            <w:r>
              <w:t xml:space="preserve"> </w:t>
            </w:r>
            <w:r>
              <w:rPr>
                <w:lang w:val="fo-FO"/>
              </w:rPr>
              <w:t xml:space="preserve">Uttan so, at hægri revsing er uppiborin eftir revsilógini, verður brot á § 2, </w:t>
            </w:r>
            <w:r>
              <w:rPr>
                <w:lang w:val="fo-FO"/>
              </w:rPr>
              <w:lastRenderedPageBreak/>
              <w:t>stk. 3, 2. pkt., § 6, stk. 3, stk. 4., 2. pkt. og stk. 6-8, § 8, § 10, stk. 1, 4 og 5, § 15 c, § 15 g, stk. 2 og 3, § 19 c og § 19 d revsað við bót. Tann, sum ikki fylgir einum boðum eftir § 19 g, verður revsaður við bót</w:t>
            </w:r>
            <w:r>
              <w:rPr>
                <w:spacing w:val="-6"/>
                <w:lang w:val="fo-FO"/>
              </w:rPr>
              <w:t>.</w:t>
            </w:r>
          </w:p>
          <w:p w14:paraId="3F26DF02" w14:textId="77777777" w:rsidR="00334F92" w:rsidRDefault="00334F92" w:rsidP="00FF07E2"/>
        </w:tc>
        <w:tc>
          <w:tcPr>
            <w:tcW w:w="4508" w:type="dxa"/>
          </w:tcPr>
          <w:p w14:paraId="7AA7E155" w14:textId="3D9B7C53" w:rsidR="00020222" w:rsidRPr="00054D3A" w:rsidRDefault="00020222" w:rsidP="00020222">
            <w:pPr>
              <w:pStyle w:val="Listeafsnit"/>
              <w:numPr>
                <w:ilvl w:val="0"/>
                <w:numId w:val="6"/>
              </w:numPr>
              <w:rPr>
                <w:rFonts w:eastAsia="Times New Roman"/>
              </w:rPr>
            </w:pPr>
            <w:r>
              <w:lastRenderedPageBreak/>
              <w:t>Í § 23</w:t>
            </w:r>
            <w:r w:rsidR="005235E3">
              <w:t>, stk. 1, 1. pkt.</w:t>
            </w:r>
            <w:r>
              <w:t xml:space="preserve"> verður “§ 15 g, stk. 2 og 3” broytt til “§ 15 g, stk. 3, 5 og 6”.</w:t>
            </w:r>
          </w:p>
          <w:p w14:paraId="514628E4" w14:textId="77777777" w:rsidR="00334F92" w:rsidRDefault="00334F92" w:rsidP="00FF07E2"/>
        </w:tc>
      </w:tr>
      <w:tr w:rsidR="00334F92" w14:paraId="0C4E02C2" w14:textId="77777777" w:rsidTr="009B5EDE">
        <w:tc>
          <w:tcPr>
            <w:tcW w:w="4508" w:type="dxa"/>
          </w:tcPr>
          <w:p w14:paraId="6A5083B4" w14:textId="77777777" w:rsidR="00334F92" w:rsidRDefault="00334F92" w:rsidP="00FF07E2"/>
        </w:tc>
        <w:tc>
          <w:tcPr>
            <w:tcW w:w="4508" w:type="dxa"/>
          </w:tcPr>
          <w:p w14:paraId="764620B0" w14:textId="77777777" w:rsidR="00334F92" w:rsidRPr="002624CF" w:rsidRDefault="00AF06B1" w:rsidP="00AF06B1">
            <w:pPr>
              <w:jc w:val="center"/>
              <w:rPr>
                <w:b/>
                <w:bCs/>
              </w:rPr>
            </w:pPr>
            <w:r w:rsidRPr="002624CF">
              <w:rPr>
                <w:b/>
                <w:bCs/>
              </w:rPr>
              <w:t xml:space="preserve">§ 3. </w:t>
            </w:r>
          </w:p>
          <w:p w14:paraId="2DD9819C" w14:textId="4B4DCA3C" w:rsidR="00AF06B1" w:rsidRDefault="002624CF" w:rsidP="002624CF">
            <w:r w:rsidRPr="007F1181">
              <w:t xml:space="preserve">Í </w:t>
            </w:r>
            <w:proofErr w:type="spellStart"/>
            <w:r w:rsidRPr="007F1181">
              <w:t>anordning</w:t>
            </w:r>
            <w:proofErr w:type="spellEnd"/>
            <w:r w:rsidRPr="007F1181">
              <w:t xml:space="preserve"> nr. 1113 </w:t>
            </w:r>
            <w:proofErr w:type="spellStart"/>
            <w:r w:rsidRPr="007F1181">
              <w:t>af</w:t>
            </w:r>
            <w:proofErr w:type="spellEnd"/>
            <w:r w:rsidRPr="007F1181">
              <w:t xml:space="preserve"> 20. september 2007 </w:t>
            </w:r>
            <w:proofErr w:type="spellStart"/>
            <w:r w:rsidRPr="007F1181">
              <w:t>om</w:t>
            </w:r>
            <w:proofErr w:type="spellEnd"/>
            <w:r w:rsidRPr="007F1181">
              <w:t xml:space="preserve"> </w:t>
            </w:r>
            <w:proofErr w:type="spellStart"/>
            <w:r w:rsidRPr="007F1181">
              <w:t>ikrafttræden</w:t>
            </w:r>
            <w:proofErr w:type="spellEnd"/>
            <w:r w:rsidRPr="007F1181">
              <w:t xml:space="preserve"> for </w:t>
            </w:r>
            <w:proofErr w:type="spellStart"/>
            <w:r w:rsidRPr="007F1181">
              <w:t>Færøerne</w:t>
            </w:r>
            <w:proofErr w:type="spellEnd"/>
            <w:r w:rsidRPr="007F1181">
              <w:t xml:space="preserve"> </w:t>
            </w:r>
            <w:proofErr w:type="spellStart"/>
            <w:r w:rsidRPr="007F1181">
              <w:t>af</w:t>
            </w:r>
            <w:proofErr w:type="spellEnd"/>
            <w:r w:rsidRPr="007F1181">
              <w:t xml:space="preserve"> lov </w:t>
            </w:r>
            <w:proofErr w:type="spellStart"/>
            <w:r w:rsidRPr="007F1181">
              <w:t>om</w:t>
            </w:r>
            <w:proofErr w:type="spellEnd"/>
            <w:r w:rsidRPr="007F1181">
              <w:t xml:space="preserve"> </w:t>
            </w:r>
            <w:proofErr w:type="spellStart"/>
            <w:r w:rsidRPr="007F1181">
              <w:t>erhvervsdrivende</w:t>
            </w:r>
            <w:proofErr w:type="spellEnd"/>
            <w:r w:rsidRPr="007F1181">
              <w:t xml:space="preserve"> </w:t>
            </w:r>
            <w:proofErr w:type="spellStart"/>
            <w:r w:rsidRPr="007F1181">
              <w:t>fonde</w:t>
            </w:r>
            <w:proofErr w:type="spellEnd"/>
            <w:r w:rsidRPr="007F1181">
              <w:t xml:space="preserve">, sum broytt við løgtingslóg nr. 18 frá 8. mai 2008, løgtingslóg nr. 52 frá 11. mai 2009, løgtingslóg nr. 75 frá 25. mai 2009 og løgtingslóg nr. 69 frá 27. mai 2011, </w:t>
            </w:r>
            <w:r>
              <w:t xml:space="preserve">løgtingslóg nr. 45 frá 26. apríl 2019, løgtingslóg nr. 57 frá 4. mai 2021 og løgtingslóg nr. 31 frá 17. mars 2022, </w:t>
            </w:r>
            <w:r w:rsidRPr="007F1181">
              <w:t>verða gjørdar hesar broytingar</w:t>
            </w:r>
            <w:r>
              <w:t>:</w:t>
            </w:r>
          </w:p>
        </w:tc>
      </w:tr>
      <w:tr w:rsidR="00334F92" w14:paraId="097840FF" w14:textId="77777777" w:rsidTr="009B5EDE">
        <w:tc>
          <w:tcPr>
            <w:tcW w:w="4508" w:type="dxa"/>
          </w:tcPr>
          <w:p w14:paraId="63192407" w14:textId="14658E1D" w:rsidR="00334F92" w:rsidRPr="001741E2" w:rsidRDefault="001741E2" w:rsidP="00FF07E2">
            <w:r>
              <w:rPr>
                <w:b/>
                <w:bCs/>
              </w:rPr>
              <w:t xml:space="preserve">§ 1. </w:t>
            </w:r>
            <w:r w:rsidR="00CD750B">
              <w:rPr>
                <w:i/>
                <w:iCs/>
              </w:rPr>
              <w:t xml:space="preserve">Stk. 2. </w:t>
            </w:r>
            <w:r w:rsidR="00901899" w:rsidRPr="00901899">
              <w:t>(</w:t>
            </w:r>
            <w:r>
              <w:t>...)</w:t>
            </w:r>
          </w:p>
          <w:p w14:paraId="37246464" w14:textId="12032268" w:rsidR="001741E2" w:rsidRDefault="001741E2" w:rsidP="00FF07E2"/>
          <w:p w14:paraId="6976494B" w14:textId="6F599C3D" w:rsidR="001741E2" w:rsidRDefault="001741E2" w:rsidP="00901899">
            <w:pPr>
              <w:pStyle w:val="Listeafsnit"/>
              <w:numPr>
                <w:ilvl w:val="0"/>
                <w:numId w:val="9"/>
              </w:numPr>
            </w:pPr>
            <w:bookmarkStart w:id="10" w:name="_Ref4"/>
            <w:bookmarkEnd w:id="10"/>
            <w:r>
              <w:t xml:space="preserve">har </w:t>
            </w:r>
            <w:proofErr w:type="spellStart"/>
            <w:r>
              <w:t>den</w:t>
            </w:r>
            <w:proofErr w:type="spellEnd"/>
            <w:r>
              <w:t xml:space="preserve"> i §§ 3 og 4 í løgtingslóg um parta- og smápartafeløg</w:t>
            </w:r>
            <w:r w:rsidR="00901899">
              <w:t xml:space="preserve"> </w:t>
            </w:r>
            <w:r>
              <w:t>(</w:t>
            </w:r>
            <w:proofErr w:type="spellStart"/>
            <w:r>
              <w:t>vinnufelagslógin</w:t>
            </w:r>
            <w:proofErr w:type="spellEnd"/>
            <w:r>
              <w:t>)</w:t>
            </w:r>
            <w:r w:rsidRPr="00901899">
              <w:rPr>
                <w:spacing w:val="-3"/>
              </w:rPr>
              <w:t xml:space="preserve">, </w:t>
            </w:r>
            <w:proofErr w:type="spellStart"/>
            <w:r w:rsidRPr="00901899">
              <w:rPr>
                <w:spacing w:val="-3"/>
              </w:rPr>
              <w:t>anførte</w:t>
            </w:r>
            <w:proofErr w:type="spellEnd"/>
            <w:r w:rsidRPr="00901899">
              <w:rPr>
                <w:spacing w:val="-3"/>
              </w:rPr>
              <w:t xml:space="preserve"> </w:t>
            </w:r>
            <w:proofErr w:type="spellStart"/>
            <w:r w:rsidRPr="00901899">
              <w:rPr>
                <w:spacing w:val="-3"/>
              </w:rPr>
              <w:t>forbindelse</w:t>
            </w:r>
            <w:proofErr w:type="spellEnd"/>
            <w:r w:rsidRPr="00901899">
              <w:rPr>
                <w:spacing w:val="-3"/>
              </w:rPr>
              <w:t xml:space="preserve"> </w:t>
            </w:r>
            <w:proofErr w:type="spellStart"/>
            <w:r w:rsidRPr="00901899">
              <w:rPr>
                <w:spacing w:val="-3"/>
              </w:rPr>
              <w:t>med</w:t>
            </w:r>
            <w:proofErr w:type="spellEnd"/>
            <w:r w:rsidRPr="00901899">
              <w:rPr>
                <w:spacing w:val="-3"/>
              </w:rPr>
              <w:t xml:space="preserve"> </w:t>
            </w:r>
            <w:proofErr w:type="spellStart"/>
            <w:r w:rsidRPr="00901899">
              <w:rPr>
                <w:spacing w:val="-3"/>
              </w:rPr>
              <w:t>et</w:t>
            </w:r>
            <w:proofErr w:type="spellEnd"/>
            <w:r w:rsidRPr="00901899">
              <w:rPr>
                <w:spacing w:val="-3"/>
              </w:rPr>
              <w:t xml:space="preserve"> </w:t>
            </w:r>
            <w:proofErr w:type="spellStart"/>
            <w:r w:rsidRPr="00901899">
              <w:rPr>
                <w:spacing w:val="-3"/>
              </w:rPr>
              <w:t>aktie</w:t>
            </w:r>
            <w:proofErr w:type="spellEnd"/>
            <w:r w:rsidRPr="00901899">
              <w:rPr>
                <w:spacing w:val="-3"/>
              </w:rPr>
              <w:t xml:space="preserve">- </w:t>
            </w:r>
            <w:proofErr w:type="spellStart"/>
            <w:r w:rsidRPr="00901899">
              <w:rPr>
                <w:spacing w:val="-3"/>
              </w:rPr>
              <w:t>eller</w:t>
            </w:r>
            <w:proofErr w:type="spellEnd"/>
            <w:r w:rsidRPr="00901899">
              <w:rPr>
                <w:spacing w:val="-3"/>
              </w:rPr>
              <w:t xml:space="preserve"> </w:t>
            </w:r>
            <w:proofErr w:type="spellStart"/>
            <w:r w:rsidRPr="00901899">
              <w:rPr>
                <w:spacing w:val="-3"/>
              </w:rPr>
              <w:t>anpartsselskab</w:t>
            </w:r>
            <w:proofErr w:type="spellEnd"/>
            <w:r w:rsidRPr="00901899">
              <w:rPr>
                <w:spacing w:val="-3"/>
              </w:rPr>
              <w:t xml:space="preserve"> </w:t>
            </w:r>
            <w:proofErr w:type="spellStart"/>
            <w:r w:rsidRPr="00901899">
              <w:rPr>
                <w:spacing w:val="-3"/>
              </w:rPr>
              <w:t>eller</w:t>
            </w:r>
            <w:proofErr w:type="spellEnd"/>
            <w:r w:rsidRPr="00901899">
              <w:rPr>
                <w:spacing w:val="-3"/>
              </w:rPr>
              <w:t xml:space="preserve"> </w:t>
            </w:r>
            <w:proofErr w:type="spellStart"/>
            <w:r w:rsidRPr="00901899">
              <w:rPr>
                <w:spacing w:val="-3"/>
              </w:rPr>
              <w:t>med</w:t>
            </w:r>
            <w:proofErr w:type="spellEnd"/>
            <w:r w:rsidRPr="00901899">
              <w:rPr>
                <w:spacing w:val="-3"/>
              </w:rPr>
              <w:t xml:space="preserve"> </w:t>
            </w:r>
            <w:proofErr w:type="spellStart"/>
            <w:r w:rsidRPr="00901899">
              <w:rPr>
                <w:spacing w:val="-3"/>
              </w:rPr>
              <w:t>en</w:t>
            </w:r>
            <w:proofErr w:type="spellEnd"/>
            <w:r w:rsidRPr="00901899">
              <w:rPr>
                <w:spacing w:val="-3"/>
              </w:rPr>
              <w:t xml:space="preserve"> </w:t>
            </w:r>
            <w:proofErr w:type="spellStart"/>
            <w:r w:rsidRPr="00901899">
              <w:rPr>
                <w:spacing w:val="-3"/>
              </w:rPr>
              <w:t>an</w:t>
            </w:r>
            <w:proofErr w:type="spellEnd"/>
            <w:r w:rsidRPr="00901899">
              <w:rPr>
                <w:spacing w:val="-3"/>
              </w:rPr>
              <w:t xml:space="preserve"> </w:t>
            </w:r>
            <w:proofErr w:type="spellStart"/>
            <w:r w:rsidRPr="00901899">
              <w:rPr>
                <w:spacing w:val="-1"/>
              </w:rPr>
              <w:t>den</w:t>
            </w:r>
            <w:proofErr w:type="spellEnd"/>
            <w:r w:rsidRPr="00901899">
              <w:rPr>
                <w:spacing w:val="-1"/>
              </w:rPr>
              <w:t xml:space="preserve"> </w:t>
            </w:r>
            <w:proofErr w:type="spellStart"/>
            <w:r w:rsidRPr="00901899">
              <w:rPr>
                <w:spacing w:val="-1"/>
              </w:rPr>
              <w:t>virksomhed</w:t>
            </w:r>
            <w:proofErr w:type="spellEnd"/>
            <w:r w:rsidRPr="00901899">
              <w:rPr>
                <w:spacing w:val="-1"/>
              </w:rPr>
              <w:t xml:space="preserve"> </w:t>
            </w:r>
            <w:proofErr w:type="spellStart"/>
            <w:r w:rsidRPr="00901899">
              <w:rPr>
                <w:spacing w:val="-1"/>
              </w:rPr>
              <w:t>af</w:t>
            </w:r>
            <w:proofErr w:type="spellEnd"/>
            <w:r w:rsidRPr="00901899">
              <w:rPr>
                <w:spacing w:val="-1"/>
              </w:rPr>
              <w:t xml:space="preserve"> </w:t>
            </w:r>
            <w:proofErr w:type="spellStart"/>
            <w:r w:rsidRPr="00901899">
              <w:rPr>
                <w:spacing w:val="-1"/>
              </w:rPr>
              <w:t>den</w:t>
            </w:r>
            <w:proofErr w:type="spellEnd"/>
            <w:r w:rsidRPr="00901899">
              <w:rPr>
                <w:spacing w:val="-1"/>
              </w:rPr>
              <w:t xml:space="preserve"> i nr. 1 </w:t>
            </w:r>
            <w:proofErr w:type="spellStart"/>
            <w:r w:rsidRPr="00901899">
              <w:rPr>
                <w:spacing w:val="-1"/>
              </w:rPr>
              <w:t>eller</w:t>
            </w:r>
            <w:proofErr w:type="spellEnd"/>
            <w:r w:rsidRPr="00901899">
              <w:rPr>
                <w:spacing w:val="-1"/>
              </w:rPr>
              <w:t xml:space="preserve"> 2 </w:t>
            </w:r>
            <w:proofErr w:type="spellStart"/>
            <w:r w:rsidRPr="00901899">
              <w:rPr>
                <w:spacing w:val="-1"/>
              </w:rPr>
              <w:t>nævnte</w:t>
            </w:r>
            <w:proofErr w:type="spellEnd"/>
            <w:r w:rsidRPr="00901899">
              <w:rPr>
                <w:spacing w:val="-1"/>
              </w:rPr>
              <w:t xml:space="preserve"> </w:t>
            </w:r>
            <w:r>
              <w:t xml:space="preserve">art </w:t>
            </w:r>
            <w:proofErr w:type="spellStart"/>
            <w:r>
              <w:t>eller</w:t>
            </w:r>
            <w:proofErr w:type="spellEnd"/>
          </w:p>
          <w:p w14:paraId="27CC9216" w14:textId="039B8C3F" w:rsidR="00901899" w:rsidRDefault="00901899" w:rsidP="00901899"/>
        </w:tc>
        <w:tc>
          <w:tcPr>
            <w:tcW w:w="4508" w:type="dxa"/>
          </w:tcPr>
          <w:p w14:paraId="7DF6F4FB" w14:textId="77777777" w:rsidR="00CD750B" w:rsidRDefault="00CD750B" w:rsidP="00CD750B">
            <w:pPr>
              <w:pStyle w:val="Listeafsnit"/>
              <w:numPr>
                <w:ilvl w:val="0"/>
                <w:numId w:val="8"/>
              </w:numPr>
              <w:rPr>
                <w:color w:val="000000"/>
                <w:shd w:val="clear" w:color="auto" w:fill="FFFFFF"/>
              </w:rPr>
            </w:pPr>
            <w:r>
              <w:rPr>
                <w:color w:val="000000"/>
                <w:shd w:val="clear" w:color="auto" w:fill="FFFFFF"/>
              </w:rPr>
              <w:t xml:space="preserve">Í § 1, stk. 2, nr. 3 verður “§§ 3 og 4” broytt til “§ 7”. </w:t>
            </w:r>
          </w:p>
          <w:p w14:paraId="6E0D2603" w14:textId="77777777" w:rsidR="00334F92" w:rsidRDefault="00334F92" w:rsidP="00FF07E2"/>
        </w:tc>
      </w:tr>
      <w:tr w:rsidR="00334F92" w14:paraId="2E6F4325" w14:textId="77777777" w:rsidTr="009B5EDE">
        <w:tc>
          <w:tcPr>
            <w:tcW w:w="4508" w:type="dxa"/>
          </w:tcPr>
          <w:p w14:paraId="178AE23C" w14:textId="3FC252D7" w:rsidR="00A271C6" w:rsidRDefault="00A271C6" w:rsidP="00A271C6">
            <w:pPr>
              <w:pStyle w:val="paragraftekst"/>
            </w:pPr>
            <w:r>
              <w:rPr>
                <w:b/>
                <w:bCs/>
              </w:rPr>
              <w:t>§ 56 b.</w:t>
            </w:r>
            <w:r>
              <w:t xml:space="preserve"> </w:t>
            </w:r>
            <w:proofErr w:type="spellStart"/>
            <w:r>
              <w:t>Grunnurin</w:t>
            </w:r>
            <w:proofErr w:type="spellEnd"/>
            <w:r>
              <w:t xml:space="preserve"> skal </w:t>
            </w:r>
            <w:proofErr w:type="spellStart"/>
            <w:r>
              <w:t>savna</w:t>
            </w:r>
            <w:proofErr w:type="spellEnd"/>
            <w:r>
              <w:t xml:space="preserve"> </w:t>
            </w:r>
            <w:proofErr w:type="spellStart"/>
            <w:r>
              <w:t>upplýsingar</w:t>
            </w:r>
            <w:proofErr w:type="spellEnd"/>
            <w:r>
              <w:t xml:space="preserve"> </w:t>
            </w:r>
            <w:proofErr w:type="spellStart"/>
            <w:r>
              <w:t>um</w:t>
            </w:r>
            <w:proofErr w:type="spellEnd"/>
            <w:r>
              <w:t xml:space="preserve"> </w:t>
            </w:r>
            <w:proofErr w:type="spellStart"/>
            <w:r>
              <w:t>veruligu</w:t>
            </w:r>
            <w:proofErr w:type="spellEnd"/>
            <w:r>
              <w:t xml:space="preserve"> </w:t>
            </w:r>
            <w:proofErr w:type="spellStart"/>
            <w:r>
              <w:t>eigarar</w:t>
            </w:r>
            <w:proofErr w:type="spellEnd"/>
            <w:r>
              <w:t xml:space="preserve"> </w:t>
            </w:r>
            <w:proofErr w:type="spellStart"/>
            <w:r>
              <w:t>grunsins</w:t>
            </w:r>
            <w:proofErr w:type="spellEnd"/>
            <w:r>
              <w:t xml:space="preserve">, </w:t>
            </w:r>
            <w:proofErr w:type="spellStart"/>
            <w:r>
              <w:t>sbr</w:t>
            </w:r>
            <w:proofErr w:type="spellEnd"/>
            <w:r>
              <w:t xml:space="preserve">. § 56 c, </w:t>
            </w:r>
            <w:proofErr w:type="spellStart"/>
            <w:r>
              <w:t>undir</w:t>
            </w:r>
            <w:proofErr w:type="spellEnd"/>
            <w:r>
              <w:t xml:space="preserve"> </w:t>
            </w:r>
            <w:proofErr w:type="spellStart"/>
            <w:r>
              <w:t>hesum</w:t>
            </w:r>
            <w:proofErr w:type="spellEnd"/>
            <w:r>
              <w:t xml:space="preserve"> </w:t>
            </w:r>
            <w:proofErr w:type="spellStart"/>
            <w:r>
              <w:t>rættindi</w:t>
            </w:r>
            <w:proofErr w:type="spellEnd"/>
            <w:r>
              <w:t xml:space="preserve"> </w:t>
            </w:r>
            <w:proofErr w:type="spellStart"/>
            <w:r>
              <w:t>hjá</w:t>
            </w:r>
            <w:proofErr w:type="spellEnd"/>
            <w:r>
              <w:t xml:space="preserve"> </w:t>
            </w:r>
            <w:proofErr w:type="spellStart"/>
            <w:r>
              <w:t>teimum</w:t>
            </w:r>
            <w:proofErr w:type="spellEnd"/>
            <w:r>
              <w:t xml:space="preserve"> </w:t>
            </w:r>
            <w:proofErr w:type="spellStart"/>
            <w:r>
              <w:t>veruligu</w:t>
            </w:r>
            <w:proofErr w:type="spellEnd"/>
            <w:r>
              <w:t xml:space="preserve"> </w:t>
            </w:r>
            <w:proofErr w:type="spellStart"/>
            <w:r>
              <w:t>eigarunum</w:t>
            </w:r>
            <w:proofErr w:type="spellEnd"/>
            <w:r>
              <w:t>.</w:t>
            </w:r>
          </w:p>
          <w:p w14:paraId="4615E0ED" w14:textId="77777777" w:rsidR="00A271C6" w:rsidRDefault="00A271C6" w:rsidP="00A271C6">
            <w:pPr>
              <w:pStyle w:val="stk0"/>
            </w:pPr>
            <w:r>
              <w:rPr>
                <w:i/>
                <w:iCs/>
              </w:rPr>
              <w:t>Stk. 2</w:t>
            </w:r>
            <w:r>
              <w:t xml:space="preserve">. </w:t>
            </w:r>
            <w:proofErr w:type="spellStart"/>
            <w:r>
              <w:t>Grunnurin</w:t>
            </w:r>
            <w:proofErr w:type="spellEnd"/>
            <w:r>
              <w:t xml:space="preserve"> skal </w:t>
            </w:r>
            <w:proofErr w:type="spellStart"/>
            <w:r>
              <w:t>skjótast</w:t>
            </w:r>
            <w:proofErr w:type="spellEnd"/>
            <w:r>
              <w:t xml:space="preserve"> </w:t>
            </w:r>
            <w:proofErr w:type="spellStart"/>
            <w:r>
              <w:t>gjørligt</w:t>
            </w:r>
            <w:proofErr w:type="spellEnd"/>
            <w:r>
              <w:t xml:space="preserve">, </w:t>
            </w:r>
            <w:proofErr w:type="spellStart"/>
            <w:r>
              <w:t>eftir</w:t>
            </w:r>
            <w:proofErr w:type="spellEnd"/>
            <w:r>
              <w:t xml:space="preserve"> at </w:t>
            </w:r>
            <w:proofErr w:type="spellStart"/>
            <w:r>
              <w:t>grunnurin</w:t>
            </w:r>
            <w:proofErr w:type="spellEnd"/>
            <w:r>
              <w:t xml:space="preserve"> er </w:t>
            </w:r>
            <w:proofErr w:type="spellStart"/>
            <w:r>
              <w:t>kunnugur</w:t>
            </w:r>
            <w:proofErr w:type="spellEnd"/>
            <w:r>
              <w:t xml:space="preserve"> við, at </w:t>
            </w:r>
            <w:proofErr w:type="spellStart"/>
            <w:r>
              <w:t>ein</w:t>
            </w:r>
            <w:proofErr w:type="spellEnd"/>
            <w:r>
              <w:t xml:space="preserve"> </w:t>
            </w:r>
            <w:proofErr w:type="spellStart"/>
            <w:r>
              <w:t>persónur</w:t>
            </w:r>
            <w:proofErr w:type="spellEnd"/>
            <w:r>
              <w:t xml:space="preserve"> er </w:t>
            </w:r>
            <w:proofErr w:type="spellStart"/>
            <w:r>
              <w:t>blivin</w:t>
            </w:r>
            <w:proofErr w:type="spellEnd"/>
            <w:r>
              <w:t xml:space="preserve"> </w:t>
            </w:r>
            <w:proofErr w:type="spellStart"/>
            <w:r>
              <w:t>veruligur</w:t>
            </w:r>
            <w:proofErr w:type="spellEnd"/>
            <w:r>
              <w:t xml:space="preserve"> </w:t>
            </w:r>
            <w:proofErr w:type="spellStart"/>
            <w:r>
              <w:t>eigari</w:t>
            </w:r>
            <w:proofErr w:type="spellEnd"/>
            <w:r>
              <w:t xml:space="preserve">, og </w:t>
            </w:r>
            <w:proofErr w:type="spellStart"/>
            <w:r>
              <w:t>eftir</w:t>
            </w:r>
            <w:proofErr w:type="spellEnd"/>
            <w:r>
              <w:t xml:space="preserve"> </w:t>
            </w:r>
            <w:proofErr w:type="spellStart"/>
            <w:r>
              <w:t>eina</w:t>
            </w:r>
            <w:proofErr w:type="spellEnd"/>
            <w:r>
              <w:t xml:space="preserve"> og </w:t>
            </w:r>
            <w:proofErr w:type="spellStart"/>
            <w:r>
              <w:t>hvørja</w:t>
            </w:r>
            <w:proofErr w:type="spellEnd"/>
            <w:r>
              <w:t xml:space="preserve"> </w:t>
            </w:r>
            <w:proofErr w:type="spellStart"/>
            <w:r>
              <w:t>broyting</w:t>
            </w:r>
            <w:proofErr w:type="spellEnd"/>
            <w:r>
              <w:t xml:space="preserve"> av </w:t>
            </w:r>
            <w:proofErr w:type="spellStart"/>
            <w:r>
              <w:t>teimum</w:t>
            </w:r>
            <w:proofErr w:type="spellEnd"/>
            <w:r>
              <w:t xml:space="preserve"> </w:t>
            </w:r>
            <w:proofErr w:type="spellStart"/>
            <w:r>
              <w:t>upplýsingum</w:t>
            </w:r>
            <w:proofErr w:type="spellEnd"/>
            <w:r>
              <w:t xml:space="preserve">, sum </w:t>
            </w:r>
            <w:proofErr w:type="spellStart"/>
            <w:r>
              <w:t>eru</w:t>
            </w:r>
            <w:proofErr w:type="spellEnd"/>
            <w:r>
              <w:t xml:space="preserve"> </w:t>
            </w:r>
            <w:proofErr w:type="spellStart"/>
            <w:r>
              <w:t>skrásettar</w:t>
            </w:r>
            <w:proofErr w:type="spellEnd"/>
            <w:r>
              <w:t xml:space="preserve">, </w:t>
            </w:r>
            <w:proofErr w:type="spellStart"/>
            <w:r>
              <w:t>skráseta</w:t>
            </w:r>
            <w:proofErr w:type="spellEnd"/>
            <w:r>
              <w:t xml:space="preserve"> </w:t>
            </w:r>
            <w:proofErr w:type="spellStart"/>
            <w:r>
              <w:t>upplýsingarnar</w:t>
            </w:r>
            <w:proofErr w:type="spellEnd"/>
            <w:r>
              <w:t xml:space="preserve"> í kt-</w:t>
            </w:r>
            <w:proofErr w:type="spellStart"/>
            <w:r>
              <w:t>skipan</w:t>
            </w:r>
            <w:proofErr w:type="spellEnd"/>
            <w:r>
              <w:t xml:space="preserve"> </w:t>
            </w:r>
            <w:proofErr w:type="spellStart"/>
            <w:r>
              <w:t>Skráseting</w:t>
            </w:r>
            <w:proofErr w:type="spellEnd"/>
            <w:r>
              <w:t xml:space="preserve"> </w:t>
            </w:r>
            <w:proofErr w:type="spellStart"/>
            <w:r>
              <w:t>Føroya</w:t>
            </w:r>
            <w:proofErr w:type="spellEnd"/>
            <w:r>
              <w:t xml:space="preserve">. </w:t>
            </w:r>
            <w:proofErr w:type="spellStart"/>
            <w:r>
              <w:t>Grunnurin</w:t>
            </w:r>
            <w:proofErr w:type="spellEnd"/>
            <w:r>
              <w:t xml:space="preserve"> skal </w:t>
            </w:r>
            <w:proofErr w:type="spellStart"/>
            <w:r>
              <w:t>goyma</w:t>
            </w:r>
            <w:proofErr w:type="spellEnd"/>
            <w:r>
              <w:t xml:space="preserve"> </w:t>
            </w:r>
            <w:proofErr w:type="spellStart"/>
            <w:r>
              <w:t>upplýsingarnar</w:t>
            </w:r>
            <w:proofErr w:type="spellEnd"/>
            <w:r>
              <w:t xml:space="preserve"> </w:t>
            </w:r>
            <w:proofErr w:type="spellStart"/>
            <w:r>
              <w:t>um</w:t>
            </w:r>
            <w:proofErr w:type="spellEnd"/>
            <w:r>
              <w:t xml:space="preserve"> </w:t>
            </w:r>
            <w:proofErr w:type="spellStart"/>
            <w:r>
              <w:t>veruligu</w:t>
            </w:r>
            <w:proofErr w:type="spellEnd"/>
            <w:r>
              <w:t xml:space="preserve"> </w:t>
            </w:r>
            <w:proofErr w:type="spellStart"/>
            <w:r>
              <w:t>eigarar</w:t>
            </w:r>
            <w:proofErr w:type="spellEnd"/>
            <w:r>
              <w:t xml:space="preserve"> í </w:t>
            </w:r>
            <w:proofErr w:type="spellStart"/>
            <w:r>
              <w:t>fimm</w:t>
            </w:r>
            <w:proofErr w:type="spellEnd"/>
            <w:r>
              <w:t xml:space="preserve"> </w:t>
            </w:r>
            <w:proofErr w:type="spellStart"/>
            <w:r>
              <w:t>ár</w:t>
            </w:r>
            <w:proofErr w:type="spellEnd"/>
            <w:r>
              <w:t xml:space="preserve"> </w:t>
            </w:r>
            <w:proofErr w:type="spellStart"/>
            <w:r>
              <w:t>eftir</w:t>
            </w:r>
            <w:proofErr w:type="spellEnd"/>
            <w:r>
              <w:t xml:space="preserve">, at </w:t>
            </w:r>
            <w:proofErr w:type="spellStart"/>
            <w:r>
              <w:t>veruligu</w:t>
            </w:r>
            <w:proofErr w:type="spellEnd"/>
            <w:r>
              <w:t xml:space="preserve"> </w:t>
            </w:r>
            <w:proofErr w:type="spellStart"/>
            <w:r>
              <w:t>eigaraviðurskiftini</w:t>
            </w:r>
            <w:proofErr w:type="spellEnd"/>
            <w:r>
              <w:t xml:space="preserve"> </w:t>
            </w:r>
            <w:proofErr w:type="spellStart"/>
            <w:r>
              <w:t>hildu</w:t>
            </w:r>
            <w:proofErr w:type="spellEnd"/>
            <w:r>
              <w:t xml:space="preserve"> </w:t>
            </w:r>
            <w:proofErr w:type="spellStart"/>
            <w:r>
              <w:t>uppat</w:t>
            </w:r>
            <w:proofErr w:type="spellEnd"/>
            <w:r>
              <w:t xml:space="preserve">. </w:t>
            </w:r>
            <w:proofErr w:type="spellStart"/>
            <w:r>
              <w:t>Grunnurin</w:t>
            </w:r>
            <w:proofErr w:type="spellEnd"/>
            <w:r>
              <w:t xml:space="preserve"> skal </w:t>
            </w:r>
            <w:proofErr w:type="spellStart"/>
            <w:r>
              <w:t>harumframt</w:t>
            </w:r>
            <w:proofErr w:type="spellEnd"/>
            <w:r>
              <w:t xml:space="preserve"> </w:t>
            </w:r>
            <w:proofErr w:type="spellStart"/>
            <w:r>
              <w:t>goyma</w:t>
            </w:r>
            <w:proofErr w:type="spellEnd"/>
            <w:r>
              <w:t xml:space="preserve"> </w:t>
            </w:r>
            <w:proofErr w:type="spellStart"/>
            <w:r>
              <w:t>upplýsingar</w:t>
            </w:r>
            <w:proofErr w:type="spellEnd"/>
            <w:r>
              <w:t xml:space="preserve"> </w:t>
            </w:r>
            <w:proofErr w:type="spellStart"/>
            <w:r>
              <w:t>um</w:t>
            </w:r>
            <w:proofErr w:type="spellEnd"/>
            <w:r>
              <w:t xml:space="preserve"> </w:t>
            </w:r>
            <w:proofErr w:type="spellStart"/>
            <w:r>
              <w:t>royndir</w:t>
            </w:r>
            <w:proofErr w:type="spellEnd"/>
            <w:r>
              <w:t xml:space="preserve"> at </w:t>
            </w:r>
            <w:proofErr w:type="spellStart"/>
            <w:r>
              <w:t>eyðmerkja</w:t>
            </w:r>
            <w:proofErr w:type="spellEnd"/>
            <w:r>
              <w:t xml:space="preserve"> </w:t>
            </w:r>
            <w:proofErr w:type="spellStart"/>
            <w:r>
              <w:t>veruligar</w:t>
            </w:r>
            <w:proofErr w:type="spellEnd"/>
            <w:r>
              <w:t xml:space="preserve"> </w:t>
            </w:r>
            <w:proofErr w:type="spellStart"/>
            <w:r>
              <w:t>eigarar</w:t>
            </w:r>
            <w:proofErr w:type="spellEnd"/>
            <w:r>
              <w:t xml:space="preserve"> í </w:t>
            </w:r>
            <w:proofErr w:type="spellStart"/>
            <w:r>
              <w:t>fimm</w:t>
            </w:r>
            <w:proofErr w:type="spellEnd"/>
            <w:r>
              <w:t xml:space="preserve"> </w:t>
            </w:r>
            <w:proofErr w:type="spellStart"/>
            <w:r>
              <w:t>ár</w:t>
            </w:r>
            <w:proofErr w:type="spellEnd"/>
            <w:r>
              <w:t xml:space="preserve"> </w:t>
            </w:r>
            <w:proofErr w:type="spellStart"/>
            <w:r>
              <w:t>eftir</w:t>
            </w:r>
            <w:proofErr w:type="spellEnd"/>
            <w:r>
              <w:t xml:space="preserve">, at </w:t>
            </w:r>
            <w:proofErr w:type="spellStart"/>
            <w:r>
              <w:t>royndirnar</w:t>
            </w:r>
            <w:proofErr w:type="spellEnd"/>
            <w:r>
              <w:t xml:space="preserve"> at </w:t>
            </w:r>
            <w:proofErr w:type="spellStart"/>
            <w:r>
              <w:t>eyðmerkja</w:t>
            </w:r>
            <w:proofErr w:type="spellEnd"/>
            <w:r>
              <w:t xml:space="preserve"> </w:t>
            </w:r>
            <w:proofErr w:type="spellStart"/>
            <w:r>
              <w:t>vórðu</w:t>
            </w:r>
            <w:proofErr w:type="spellEnd"/>
            <w:r>
              <w:t xml:space="preserve"> </w:t>
            </w:r>
            <w:proofErr w:type="spellStart"/>
            <w:r>
              <w:t>framdar</w:t>
            </w:r>
            <w:proofErr w:type="spellEnd"/>
            <w:r>
              <w:t>.</w:t>
            </w:r>
          </w:p>
          <w:p w14:paraId="5062C8BA" w14:textId="77777777" w:rsidR="00A271C6" w:rsidRDefault="00A271C6" w:rsidP="00A271C6">
            <w:pPr>
              <w:pStyle w:val="stk0"/>
            </w:pPr>
            <w:r>
              <w:rPr>
                <w:i/>
                <w:iCs/>
              </w:rPr>
              <w:t>Stk. 3</w:t>
            </w:r>
            <w:r>
              <w:t xml:space="preserve">. </w:t>
            </w:r>
            <w:proofErr w:type="spellStart"/>
            <w:r>
              <w:t>Grunnurin</w:t>
            </w:r>
            <w:proofErr w:type="spellEnd"/>
            <w:r>
              <w:t xml:space="preserve"> skal </w:t>
            </w:r>
            <w:proofErr w:type="spellStart"/>
            <w:r>
              <w:t>eftir</w:t>
            </w:r>
            <w:proofErr w:type="spellEnd"/>
            <w:r>
              <w:t xml:space="preserve"> </w:t>
            </w:r>
            <w:proofErr w:type="spellStart"/>
            <w:r>
              <w:t>áheitan</w:t>
            </w:r>
            <w:proofErr w:type="spellEnd"/>
            <w:r>
              <w:t xml:space="preserve"> </w:t>
            </w:r>
            <w:proofErr w:type="spellStart"/>
            <w:r>
              <w:t>lata</w:t>
            </w:r>
            <w:proofErr w:type="spellEnd"/>
            <w:r>
              <w:t xml:space="preserve"> </w:t>
            </w:r>
            <w:proofErr w:type="spellStart"/>
            <w:r>
              <w:t>upplýsingar</w:t>
            </w:r>
            <w:proofErr w:type="spellEnd"/>
            <w:r>
              <w:t xml:space="preserve"> til </w:t>
            </w:r>
            <w:proofErr w:type="spellStart"/>
            <w:r>
              <w:t>Føroya</w:t>
            </w:r>
            <w:proofErr w:type="spellEnd"/>
            <w:r>
              <w:t xml:space="preserve"> </w:t>
            </w:r>
            <w:proofErr w:type="spellStart"/>
            <w:r>
              <w:t>Landfúta</w:t>
            </w:r>
            <w:proofErr w:type="spellEnd"/>
            <w:r>
              <w:t xml:space="preserve"> </w:t>
            </w:r>
            <w:proofErr w:type="spellStart"/>
            <w:r>
              <w:t>um</w:t>
            </w:r>
            <w:proofErr w:type="spellEnd"/>
            <w:r>
              <w:t xml:space="preserve"> </w:t>
            </w:r>
            <w:proofErr w:type="spellStart"/>
            <w:r>
              <w:t>veruligu</w:t>
            </w:r>
            <w:proofErr w:type="spellEnd"/>
            <w:r>
              <w:t xml:space="preserve"> </w:t>
            </w:r>
            <w:proofErr w:type="spellStart"/>
            <w:r>
              <w:t>eigarar</w:t>
            </w:r>
            <w:proofErr w:type="spellEnd"/>
            <w:r>
              <w:t xml:space="preserve"> </w:t>
            </w:r>
            <w:proofErr w:type="spellStart"/>
            <w:r>
              <w:t>felagsins</w:t>
            </w:r>
            <w:proofErr w:type="spellEnd"/>
            <w:r>
              <w:t xml:space="preserve">, </w:t>
            </w:r>
            <w:proofErr w:type="spellStart"/>
            <w:r>
              <w:t>undir</w:t>
            </w:r>
            <w:proofErr w:type="spellEnd"/>
            <w:r>
              <w:t xml:space="preserve"> </w:t>
            </w:r>
            <w:proofErr w:type="spellStart"/>
            <w:r>
              <w:t>hesum</w:t>
            </w:r>
            <w:proofErr w:type="spellEnd"/>
            <w:r>
              <w:t xml:space="preserve"> </w:t>
            </w:r>
            <w:proofErr w:type="spellStart"/>
            <w:r>
              <w:t>royndir</w:t>
            </w:r>
            <w:proofErr w:type="spellEnd"/>
            <w:r>
              <w:t xml:space="preserve"> at </w:t>
            </w:r>
            <w:proofErr w:type="spellStart"/>
            <w:r>
              <w:lastRenderedPageBreak/>
              <w:t>eyðmerkja</w:t>
            </w:r>
            <w:proofErr w:type="spellEnd"/>
            <w:r>
              <w:t xml:space="preserve"> </w:t>
            </w:r>
            <w:proofErr w:type="spellStart"/>
            <w:r>
              <w:t>veruligu</w:t>
            </w:r>
            <w:proofErr w:type="spellEnd"/>
            <w:r>
              <w:t xml:space="preserve"> </w:t>
            </w:r>
            <w:proofErr w:type="spellStart"/>
            <w:r>
              <w:t>eigarar</w:t>
            </w:r>
            <w:proofErr w:type="spellEnd"/>
            <w:r>
              <w:t xml:space="preserve"> </w:t>
            </w:r>
            <w:proofErr w:type="spellStart"/>
            <w:r>
              <w:t>tess</w:t>
            </w:r>
            <w:proofErr w:type="spellEnd"/>
            <w:r>
              <w:t xml:space="preserve">. </w:t>
            </w:r>
            <w:proofErr w:type="spellStart"/>
            <w:r>
              <w:t>Grunnurin</w:t>
            </w:r>
            <w:proofErr w:type="spellEnd"/>
            <w:r>
              <w:t xml:space="preserve"> skal </w:t>
            </w:r>
            <w:proofErr w:type="spellStart"/>
            <w:r>
              <w:t>harumframt</w:t>
            </w:r>
            <w:proofErr w:type="spellEnd"/>
            <w:r>
              <w:t xml:space="preserve"> </w:t>
            </w:r>
            <w:proofErr w:type="spellStart"/>
            <w:r>
              <w:t>eftir</w:t>
            </w:r>
            <w:proofErr w:type="spellEnd"/>
            <w:r>
              <w:t xml:space="preserve"> </w:t>
            </w:r>
            <w:proofErr w:type="spellStart"/>
            <w:r>
              <w:t>áheitan</w:t>
            </w:r>
            <w:proofErr w:type="spellEnd"/>
            <w:r>
              <w:t xml:space="preserve"> </w:t>
            </w:r>
            <w:proofErr w:type="spellStart"/>
            <w:r>
              <w:t>útflýggja</w:t>
            </w:r>
            <w:proofErr w:type="spellEnd"/>
            <w:r>
              <w:t xml:space="preserve"> </w:t>
            </w:r>
            <w:proofErr w:type="spellStart"/>
            <w:r>
              <w:t>nevndu</w:t>
            </w:r>
            <w:proofErr w:type="spellEnd"/>
            <w:r>
              <w:t xml:space="preserve"> </w:t>
            </w:r>
            <w:proofErr w:type="spellStart"/>
            <w:r>
              <w:t>upplýsingar</w:t>
            </w:r>
            <w:proofErr w:type="spellEnd"/>
            <w:r>
              <w:t xml:space="preserve"> til </w:t>
            </w:r>
            <w:proofErr w:type="spellStart"/>
            <w:r>
              <w:t>aðrar</w:t>
            </w:r>
            <w:proofErr w:type="spellEnd"/>
            <w:r>
              <w:t xml:space="preserve"> almennar </w:t>
            </w:r>
            <w:proofErr w:type="spellStart"/>
            <w:r>
              <w:t>myndugleikar</w:t>
            </w:r>
            <w:proofErr w:type="spellEnd"/>
            <w:r>
              <w:t xml:space="preserve">, </w:t>
            </w:r>
            <w:proofErr w:type="spellStart"/>
            <w:r>
              <w:t>tá</w:t>
            </w:r>
            <w:proofErr w:type="spellEnd"/>
            <w:r>
              <w:t xml:space="preserve"> </w:t>
            </w:r>
            <w:proofErr w:type="spellStart"/>
            <w:r>
              <w:t>hesir</w:t>
            </w:r>
            <w:proofErr w:type="spellEnd"/>
            <w:r>
              <w:t xml:space="preserve"> </w:t>
            </w:r>
            <w:proofErr w:type="spellStart"/>
            <w:r>
              <w:t>myndugleikar</w:t>
            </w:r>
            <w:proofErr w:type="spellEnd"/>
            <w:r>
              <w:t xml:space="preserve"> </w:t>
            </w:r>
            <w:proofErr w:type="spellStart"/>
            <w:r>
              <w:t>meta</w:t>
            </w:r>
            <w:proofErr w:type="spellEnd"/>
            <w:r>
              <w:t xml:space="preserve">, at </w:t>
            </w:r>
            <w:proofErr w:type="spellStart"/>
            <w:r>
              <w:t>upplýsingarnar</w:t>
            </w:r>
            <w:proofErr w:type="spellEnd"/>
            <w:r>
              <w:t xml:space="preserve"> </w:t>
            </w:r>
            <w:proofErr w:type="spellStart"/>
            <w:r>
              <w:t>eru</w:t>
            </w:r>
            <w:proofErr w:type="spellEnd"/>
            <w:r>
              <w:t xml:space="preserve"> </w:t>
            </w:r>
            <w:proofErr w:type="spellStart"/>
            <w:r>
              <w:t>neyðugar</w:t>
            </w:r>
            <w:proofErr w:type="spellEnd"/>
            <w:r>
              <w:t xml:space="preserve"> </w:t>
            </w:r>
            <w:proofErr w:type="spellStart"/>
            <w:r>
              <w:t>fyri</w:t>
            </w:r>
            <w:proofErr w:type="spellEnd"/>
            <w:r>
              <w:t xml:space="preserve"> </w:t>
            </w:r>
            <w:proofErr w:type="spellStart"/>
            <w:r>
              <w:t>røkt</w:t>
            </w:r>
            <w:proofErr w:type="spellEnd"/>
            <w:r>
              <w:t xml:space="preserve"> av </w:t>
            </w:r>
            <w:proofErr w:type="spellStart"/>
            <w:r>
              <w:t>eftirlits</w:t>
            </w:r>
            <w:proofErr w:type="spellEnd"/>
            <w:r>
              <w:t xml:space="preserve">- </w:t>
            </w:r>
            <w:proofErr w:type="spellStart"/>
            <w:r>
              <w:t>ella</w:t>
            </w:r>
            <w:proofErr w:type="spellEnd"/>
            <w:r>
              <w:t xml:space="preserve"> </w:t>
            </w:r>
            <w:proofErr w:type="spellStart"/>
            <w:r>
              <w:t>umsjónaruppgávum</w:t>
            </w:r>
            <w:proofErr w:type="spellEnd"/>
            <w:r>
              <w:t xml:space="preserve"> </w:t>
            </w:r>
            <w:proofErr w:type="spellStart"/>
            <w:r>
              <w:t>teirra</w:t>
            </w:r>
            <w:proofErr w:type="spellEnd"/>
            <w:r>
              <w:t>.</w:t>
            </w:r>
          </w:p>
          <w:p w14:paraId="78BB5F3C" w14:textId="77777777" w:rsidR="00A271C6" w:rsidRDefault="00A271C6" w:rsidP="00A271C6">
            <w:pPr>
              <w:pStyle w:val="stk0"/>
            </w:pPr>
            <w:r>
              <w:rPr>
                <w:i/>
                <w:iCs/>
              </w:rPr>
              <w:t>Stk. 4</w:t>
            </w:r>
            <w:r>
              <w:t xml:space="preserve">. </w:t>
            </w:r>
            <w:proofErr w:type="spellStart"/>
            <w:r>
              <w:t>Landsstýrismaðurin</w:t>
            </w:r>
            <w:proofErr w:type="spellEnd"/>
            <w:r>
              <w:t xml:space="preserve"> </w:t>
            </w:r>
            <w:proofErr w:type="spellStart"/>
            <w:r>
              <w:t>ásetur</w:t>
            </w:r>
            <w:proofErr w:type="spellEnd"/>
            <w:r>
              <w:t xml:space="preserve"> </w:t>
            </w:r>
            <w:proofErr w:type="spellStart"/>
            <w:r>
              <w:t>nærri</w:t>
            </w:r>
            <w:proofErr w:type="spellEnd"/>
            <w:r>
              <w:t xml:space="preserve"> </w:t>
            </w:r>
            <w:proofErr w:type="spellStart"/>
            <w:r>
              <w:t>reglur</w:t>
            </w:r>
            <w:proofErr w:type="spellEnd"/>
            <w:r>
              <w:t xml:space="preserve"> </w:t>
            </w:r>
            <w:proofErr w:type="spellStart"/>
            <w:r>
              <w:t>um</w:t>
            </w:r>
            <w:proofErr w:type="spellEnd"/>
            <w:r>
              <w:t xml:space="preserve"> </w:t>
            </w:r>
            <w:proofErr w:type="spellStart"/>
            <w:r>
              <w:t>skráseting</w:t>
            </w:r>
            <w:proofErr w:type="spellEnd"/>
            <w:r>
              <w:t xml:space="preserve"> og </w:t>
            </w:r>
            <w:proofErr w:type="spellStart"/>
            <w:r>
              <w:t>kunngering</w:t>
            </w:r>
            <w:proofErr w:type="spellEnd"/>
            <w:r>
              <w:t xml:space="preserve"> av </w:t>
            </w:r>
            <w:proofErr w:type="spellStart"/>
            <w:r>
              <w:t>upplýsingum</w:t>
            </w:r>
            <w:proofErr w:type="spellEnd"/>
            <w:r>
              <w:t xml:space="preserve"> </w:t>
            </w:r>
            <w:proofErr w:type="spellStart"/>
            <w:r>
              <w:t>eftir</w:t>
            </w:r>
            <w:proofErr w:type="spellEnd"/>
            <w:r>
              <w:t xml:space="preserve"> stk. 1 og 2 í kt-</w:t>
            </w:r>
            <w:proofErr w:type="spellStart"/>
            <w:r>
              <w:t>skipan</w:t>
            </w:r>
            <w:proofErr w:type="spellEnd"/>
            <w:r>
              <w:t xml:space="preserve"> </w:t>
            </w:r>
            <w:proofErr w:type="spellStart"/>
            <w:r>
              <w:t>Skráseting</w:t>
            </w:r>
            <w:proofErr w:type="spellEnd"/>
            <w:r>
              <w:t xml:space="preserve"> </w:t>
            </w:r>
            <w:proofErr w:type="spellStart"/>
            <w:r>
              <w:t>Føroya</w:t>
            </w:r>
            <w:proofErr w:type="spellEnd"/>
            <w:r>
              <w:t xml:space="preserve">, </w:t>
            </w:r>
            <w:proofErr w:type="spellStart"/>
            <w:r>
              <w:t>undir</w:t>
            </w:r>
            <w:proofErr w:type="spellEnd"/>
            <w:r>
              <w:t xml:space="preserve"> </w:t>
            </w:r>
            <w:proofErr w:type="spellStart"/>
            <w:r>
              <w:t>hesum</w:t>
            </w:r>
            <w:proofErr w:type="spellEnd"/>
            <w:r>
              <w:t xml:space="preserve"> </w:t>
            </w:r>
            <w:proofErr w:type="spellStart"/>
            <w:r>
              <w:t>hvørjar</w:t>
            </w:r>
            <w:proofErr w:type="spellEnd"/>
            <w:r>
              <w:t xml:space="preserve"> </w:t>
            </w:r>
            <w:proofErr w:type="spellStart"/>
            <w:r>
              <w:t>upplýsingar</w:t>
            </w:r>
            <w:proofErr w:type="spellEnd"/>
            <w:r>
              <w:t xml:space="preserve"> </w:t>
            </w:r>
            <w:proofErr w:type="spellStart"/>
            <w:r>
              <w:t>skulu</w:t>
            </w:r>
            <w:proofErr w:type="spellEnd"/>
            <w:r>
              <w:t xml:space="preserve"> </w:t>
            </w:r>
            <w:proofErr w:type="spellStart"/>
            <w:r>
              <w:t>skrásetast</w:t>
            </w:r>
            <w:proofErr w:type="spellEnd"/>
            <w:r>
              <w:t xml:space="preserve"> í kt-</w:t>
            </w:r>
            <w:proofErr w:type="spellStart"/>
            <w:r>
              <w:t>skipanini</w:t>
            </w:r>
            <w:proofErr w:type="spellEnd"/>
            <w:r>
              <w:t>.</w:t>
            </w:r>
          </w:p>
          <w:p w14:paraId="65622C82" w14:textId="77777777" w:rsidR="00334F92" w:rsidRDefault="00334F92" w:rsidP="00FF07E2"/>
        </w:tc>
        <w:tc>
          <w:tcPr>
            <w:tcW w:w="4508" w:type="dxa"/>
          </w:tcPr>
          <w:p w14:paraId="42D97B01" w14:textId="77777777" w:rsidR="00A271C6" w:rsidRDefault="00A271C6" w:rsidP="00A271C6">
            <w:pPr>
              <w:pStyle w:val="Listeafsnit"/>
              <w:numPr>
                <w:ilvl w:val="0"/>
                <w:numId w:val="8"/>
              </w:numPr>
              <w:rPr>
                <w:color w:val="000000"/>
                <w:shd w:val="clear" w:color="auto" w:fill="FFFFFF"/>
              </w:rPr>
            </w:pPr>
            <w:r>
              <w:rPr>
                <w:color w:val="000000"/>
                <w:shd w:val="clear" w:color="auto" w:fill="FFFFFF"/>
              </w:rPr>
              <w:lastRenderedPageBreak/>
              <w:t xml:space="preserve">§ 56 b verður orðað soleiðis: </w:t>
            </w:r>
          </w:p>
          <w:p w14:paraId="2C50B247" w14:textId="77777777" w:rsidR="00A271C6" w:rsidRDefault="00A271C6" w:rsidP="00A271C6">
            <w:pPr>
              <w:pStyle w:val="Listeafsnit"/>
              <w:rPr>
                <w:color w:val="000000"/>
                <w:shd w:val="clear" w:color="auto" w:fill="FFFFFF"/>
              </w:rPr>
            </w:pPr>
          </w:p>
          <w:p w14:paraId="2ED40A43" w14:textId="4EB52C3F" w:rsidR="00A271C6" w:rsidRPr="001D2CF3" w:rsidRDefault="00A271C6" w:rsidP="001D2CF3">
            <w:pPr>
              <w:rPr>
                <w:color w:val="000000"/>
                <w:shd w:val="clear" w:color="auto" w:fill="FFFFFF"/>
              </w:rPr>
            </w:pPr>
            <w:r w:rsidRPr="001D2CF3">
              <w:rPr>
                <w:color w:val="000000"/>
                <w:shd w:val="clear" w:color="auto" w:fill="FFFFFF"/>
              </w:rPr>
              <w:t xml:space="preserve">“§ 56 b. Grunnurin skal savna upplýsingar um veruligu eigarar grunsins, </w:t>
            </w:r>
            <w:proofErr w:type="spellStart"/>
            <w:r w:rsidR="00DB2945">
              <w:t>heruppií</w:t>
            </w:r>
            <w:proofErr w:type="spellEnd"/>
            <w:r w:rsidR="00DB2945">
              <w:t xml:space="preserve"> </w:t>
            </w:r>
            <w:r w:rsidRPr="001D2CF3">
              <w:rPr>
                <w:color w:val="000000"/>
                <w:shd w:val="clear" w:color="auto" w:fill="FFFFFF"/>
              </w:rPr>
              <w:t>rættindi hjá teimum veruligu eigarunum.</w:t>
            </w:r>
          </w:p>
          <w:p w14:paraId="179A7639" w14:textId="77777777" w:rsidR="00A271C6" w:rsidRDefault="00A271C6" w:rsidP="00A271C6">
            <w:pPr>
              <w:pStyle w:val="Listeafsnit"/>
              <w:rPr>
                <w:color w:val="000000"/>
                <w:shd w:val="clear" w:color="auto" w:fill="FFFFFF"/>
              </w:rPr>
            </w:pPr>
          </w:p>
          <w:p w14:paraId="1BB61FEF" w14:textId="12652849" w:rsidR="00A271C6" w:rsidRPr="001D2CF3" w:rsidRDefault="00A271C6" w:rsidP="001D2CF3">
            <w:pPr>
              <w:rPr>
                <w:color w:val="000000"/>
                <w:shd w:val="clear" w:color="auto" w:fill="FFFFFF"/>
              </w:rPr>
            </w:pPr>
            <w:r w:rsidRPr="001D2CF3">
              <w:rPr>
                <w:i/>
                <w:iCs/>
              </w:rPr>
              <w:t>Stk. 2</w:t>
            </w:r>
            <w:r>
              <w:t xml:space="preserve">. Grunsins veruligu eigarar skulu </w:t>
            </w:r>
            <w:r w:rsidRPr="001D2CF3">
              <w:rPr>
                <w:color w:val="000000"/>
                <w:shd w:val="clear" w:color="auto" w:fill="FFFFFF"/>
              </w:rPr>
              <w:t xml:space="preserve">eftir áheitan frá grunninum lata grunninum tær upplýsingar um grunsins veruligu eigarar, </w:t>
            </w:r>
            <w:proofErr w:type="spellStart"/>
            <w:r w:rsidR="00CB00FB">
              <w:rPr>
                <w:color w:val="000000"/>
                <w:shd w:val="clear" w:color="auto" w:fill="FFFFFF"/>
              </w:rPr>
              <w:t>heruppií</w:t>
            </w:r>
            <w:proofErr w:type="spellEnd"/>
            <w:r w:rsidRPr="001D2CF3">
              <w:rPr>
                <w:color w:val="000000"/>
                <w:shd w:val="clear" w:color="auto" w:fill="FFFFFF"/>
              </w:rPr>
              <w:t xml:space="preserve"> upplýsingar um rættindini hjá veruligu eigarunum, sum grunnurin hevur skyldu til at savnað.</w:t>
            </w:r>
          </w:p>
          <w:p w14:paraId="34F3C248" w14:textId="77777777" w:rsidR="00A271C6" w:rsidRDefault="00A271C6" w:rsidP="00A271C6">
            <w:pPr>
              <w:pStyle w:val="Listeafsnit"/>
              <w:rPr>
                <w:i/>
                <w:iCs/>
              </w:rPr>
            </w:pPr>
          </w:p>
          <w:p w14:paraId="06710F50" w14:textId="4DC729F9" w:rsidR="00A271C6" w:rsidRPr="001D2CF3" w:rsidRDefault="00A271C6" w:rsidP="001D2CF3">
            <w:pPr>
              <w:rPr>
                <w:color w:val="000000"/>
                <w:shd w:val="clear" w:color="auto" w:fill="FFFFFF"/>
              </w:rPr>
            </w:pPr>
            <w:r w:rsidRPr="001D2CF3">
              <w:rPr>
                <w:i/>
                <w:iCs/>
              </w:rPr>
              <w:t xml:space="preserve">Stk. 3. </w:t>
            </w:r>
            <w:r>
              <w:t xml:space="preserve">Grunnurin </w:t>
            </w:r>
            <w:r w:rsidRPr="001D2CF3">
              <w:rPr>
                <w:color w:val="000000"/>
                <w:shd w:val="clear" w:color="auto" w:fill="FFFFFF"/>
              </w:rPr>
              <w:t>skal skjótast gjørligt, eftir</w:t>
            </w:r>
            <w:r w:rsidR="00CB00FB">
              <w:rPr>
                <w:color w:val="000000"/>
                <w:shd w:val="clear" w:color="auto" w:fill="FFFFFF"/>
              </w:rPr>
              <w:t>,</w:t>
            </w:r>
            <w:r w:rsidRPr="001D2CF3">
              <w:rPr>
                <w:color w:val="000000"/>
                <w:shd w:val="clear" w:color="auto" w:fill="FFFFFF"/>
              </w:rPr>
              <w:t xml:space="preserve"> at grunnurin er vorðin kunnugur við, at ein persónur er blivin veruligur eigari, og eftir eina og hvørja broyting av teimum upplýsingum, sum eru skrásettar, skráseta upplýsingarnar í </w:t>
            </w:r>
            <w:proofErr w:type="spellStart"/>
            <w:r w:rsidRPr="001D2CF3">
              <w:rPr>
                <w:color w:val="000000"/>
                <w:shd w:val="clear" w:color="auto" w:fill="FFFFFF"/>
              </w:rPr>
              <w:t>kt-skipan</w:t>
            </w:r>
            <w:proofErr w:type="spellEnd"/>
            <w:r w:rsidRPr="001D2CF3">
              <w:rPr>
                <w:color w:val="000000"/>
                <w:shd w:val="clear" w:color="auto" w:fill="FFFFFF"/>
              </w:rPr>
              <w:t xml:space="preserve"> Skráseting Føroya. Ein og hvør broyting av teimum upplýsingum, sum eru skrásettar um veruligu eigararnar, skal skrásetast skjótast </w:t>
            </w:r>
            <w:r w:rsidRPr="001D2CF3">
              <w:rPr>
                <w:color w:val="000000"/>
                <w:shd w:val="clear" w:color="auto" w:fill="FFFFFF"/>
              </w:rPr>
              <w:lastRenderedPageBreak/>
              <w:t>gjørligt eftir, at grunnurin er blivin varugur við broytingina.</w:t>
            </w:r>
          </w:p>
          <w:p w14:paraId="2F13E711" w14:textId="77777777" w:rsidR="001D2CF3" w:rsidRDefault="001D2CF3" w:rsidP="001D2CF3">
            <w:pPr>
              <w:pStyle w:val="Stk"/>
              <w:rPr>
                <w:i/>
                <w:iCs/>
              </w:rPr>
            </w:pPr>
          </w:p>
          <w:p w14:paraId="3A652AA8" w14:textId="44634326" w:rsidR="00A271C6" w:rsidRDefault="00A271C6" w:rsidP="001D2CF3">
            <w:pPr>
              <w:pStyle w:val="Stk"/>
              <w:ind w:firstLine="0"/>
            </w:pPr>
            <w:r>
              <w:rPr>
                <w:i/>
                <w:iCs/>
              </w:rPr>
              <w:t xml:space="preserve">Stk. 4. </w:t>
            </w:r>
            <w:r>
              <w:t xml:space="preserve">Grunnurin </w:t>
            </w:r>
            <w:r w:rsidRPr="00E9401B">
              <w:t>skal í minsta lagi eina ferð um árið kanna, um broytingar</w:t>
            </w:r>
            <w:r>
              <w:t xml:space="preserve"> skulu gerast í</w:t>
            </w:r>
            <w:r w:rsidRPr="00E9401B">
              <w:t xml:space="preserve"> skrásettu upplýsingu</w:t>
            </w:r>
            <w:r>
              <w:t>nu</w:t>
            </w:r>
            <w:r w:rsidRPr="00E9401B">
              <w:t xml:space="preserve">m um veruligu eigararnar. Úrslitið av árligu kanningini skal leggjast fram á fundinum, har </w:t>
            </w:r>
            <w:r>
              <w:t>nevndin</w:t>
            </w:r>
            <w:r w:rsidRPr="00E9401B">
              <w:t xml:space="preserve"> góðkennir </w:t>
            </w:r>
            <w:proofErr w:type="spellStart"/>
            <w:r w:rsidRPr="00E9401B">
              <w:t>ársfrásøgnina</w:t>
            </w:r>
            <w:proofErr w:type="spellEnd"/>
            <w:r>
              <w:t xml:space="preserve">, ella líknandi. </w:t>
            </w:r>
          </w:p>
          <w:p w14:paraId="56224A85" w14:textId="77777777" w:rsidR="00A271C6" w:rsidRDefault="00A271C6" w:rsidP="00A271C6">
            <w:pPr>
              <w:pStyle w:val="Stk"/>
              <w:ind w:left="720" w:firstLine="0"/>
            </w:pPr>
          </w:p>
          <w:p w14:paraId="7C91A1D6" w14:textId="77777777" w:rsidR="00A271C6" w:rsidRPr="001D2CF3" w:rsidRDefault="00A271C6" w:rsidP="001D2CF3">
            <w:pPr>
              <w:rPr>
                <w:color w:val="000000" w:themeColor="text1"/>
                <w:shd w:val="clear" w:color="auto" w:fill="FFFFFF"/>
              </w:rPr>
            </w:pPr>
            <w:r w:rsidRPr="001D2CF3">
              <w:rPr>
                <w:i/>
                <w:iCs/>
                <w:color w:val="000000" w:themeColor="text1"/>
              </w:rPr>
              <w:t>Stk. 5.</w:t>
            </w:r>
            <w:r w:rsidRPr="001D2CF3">
              <w:rPr>
                <w:color w:val="000000" w:themeColor="text1"/>
              </w:rPr>
              <w:t xml:space="preserve"> </w:t>
            </w:r>
            <w:r w:rsidRPr="001D2CF3">
              <w:rPr>
                <w:color w:val="000000" w:themeColor="text1"/>
                <w:shd w:val="clear" w:color="auto" w:fill="FFFFFF"/>
              </w:rPr>
              <w:t>Grunnurin skal goyma upplýsingarnar um veruligu eigarar hansara í fimm ár eftir, at veruligu eigaraviðurskiftini hildu uppat. Grunnurin skal harumframt goyma skjalprógv fyri teimum savnaðu upplýsingunum um royndir at eyðmerkja veruligar eigarar í fimm ár eftir, at royndirnar at eyðmerkja vórðu framdar.</w:t>
            </w:r>
          </w:p>
          <w:p w14:paraId="79FA808E" w14:textId="77777777" w:rsidR="00A271C6" w:rsidRPr="00E93068" w:rsidRDefault="00A271C6" w:rsidP="00A271C6">
            <w:pPr>
              <w:pStyle w:val="Listeafsnit"/>
              <w:rPr>
                <w:color w:val="000000"/>
                <w:shd w:val="clear" w:color="auto" w:fill="FFFFFF"/>
              </w:rPr>
            </w:pPr>
          </w:p>
          <w:p w14:paraId="1A22C47E" w14:textId="38893BAE" w:rsidR="00A271C6" w:rsidRPr="001D2CF3" w:rsidRDefault="00A271C6" w:rsidP="001D2CF3">
            <w:pPr>
              <w:rPr>
                <w:color w:val="000000"/>
                <w:shd w:val="clear" w:color="auto" w:fill="FFFFFF"/>
              </w:rPr>
            </w:pPr>
            <w:r w:rsidRPr="001D2CF3">
              <w:rPr>
                <w:i/>
                <w:iCs/>
                <w:color w:val="000000"/>
                <w:shd w:val="clear" w:color="auto" w:fill="FFFFFF"/>
              </w:rPr>
              <w:t>Stk. 6.</w:t>
            </w:r>
            <w:r w:rsidRPr="001D2CF3">
              <w:rPr>
                <w:color w:val="000000"/>
                <w:shd w:val="clear" w:color="auto" w:fill="FFFFFF"/>
              </w:rPr>
              <w:t xml:space="preserve"> Grunnurin skal eftir áheitan lata upplýsingar til Føroya Landfúta um grunsins veruligu eigarar, </w:t>
            </w:r>
            <w:proofErr w:type="spellStart"/>
            <w:r w:rsidR="00346B10">
              <w:t>heruppií</w:t>
            </w:r>
            <w:proofErr w:type="spellEnd"/>
            <w:r w:rsidR="00346B10" w:rsidRPr="001D2CF3">
              <w:rPr>
                <w:color w:val="000000"/>
                <w:shd w:val="clear" w:color="auto" w:fill="FFFFFF"/>
              </w:rPr>
              <w:t xml:space="preserve"> </w:t>
            </w:r>
            <w:r w:rsidRPr="001D2CF3">
              <w:rPr>
                <w:color w:val="000000"/>
                <w:shd w:val="clear" w:color="auto" w:fill="FFFFFF"/>
              </w:rPr>
              <w:t xml:space="preserve">um royndir at eyðmerkja grunsins veruligu eigarar. Grunnurin skal harumframt eftir áheitan lata nevndu upplýsingar til aðrar </w:t>
            </w:r>
            <w:proofErr w:type="spellStart"/>
            <w:r w:rsidRPr="001D2CF3">
              <w:rPr>
                <w:color w:val="000000"/>
                <w:shd w:val="clear" w:color="auto" w:fill="FFFFFF"/>
              </w:rPr>
              <w:t>málførar</w:t>
            </w:r>
            <w:proofErr w:type="spellEnd"/>
            <w:r w:rsidRPr="001D2CF3">
              <w:rPr>
                <w:color w:val="000000"/>
                <w:shd w:val="clear" w:color="auto" w:fill="FFFFFF"/>
              </w:rPr>
              <w:t xml:space="preserve"> myndugleikar, tá ið hesir myndugleikar meta, at upplýsingarnar eru neyðugar fyri røkt av eftirlits- ella </w:t>
            </w:r>
            <w:proofErr w:type="spellStart"/>
            <w:r w:rsidRPr="001D2CF3">
              <w:rPr>
                <w:color w:val="000000"/>
                <w:shd w:val="clear" w:color="auto" w:fill="FFFFFF"/>
              </w:rPr>
              <w:t>umsjónaruppgávum</w:t>
            </w:r>
            <w:proofErr w:type="spellEnd"/>
            <w:r w:rsidRPr="001D2CF3">
              <w:rPr>
                <w:color w:val="000000"/>
                <w:shd w:val="clear" w:color="auto" w:fill="FFFFFF"/>
              </w:rPr>
              <w:t xml:space="preserve"> teirra.</w:t>
            </w:r>
          </w:p>
          <w:p w14:paraId="42D8E7D2" w14:textId="77777777" w:rsidR="00A271C6" w:rsidRDefault="00A271C6" w:rsidP="00A271C6">
            <w:pPr>
              <w:pStyle w:val="Listeafsnit"/>
              <w:rPr>
                <w:i/>
                <w:iCs/>
              </w:rPr>
            </w:pPr>
          </w:p>
          <w:p w14:paraId="16423929" w14:textId="77A6BC4A" w:rsidR="00A271C6" w:rsidRDefault="00A271C6" w:rsidP="001D2CF3">
            <w:r w:rsidRPr="001D2CF3">
              <w:rPr>
                <w:i/>
                <w:iCs/>
              </w:rPr>
              <w:t xml:space="preserve">Stk. 7. </w:t>
            </w:r>
            <w:bookmarkStart w:id="11" w:name="_Hlk138664431"/>
            <w:r>
              <w:t xml:space="preserve">Føroya Landfúti og aðrir málførir myndugleikar kunnu uttan viðurgjald lata upplýsingar víðari um veruligar eigarar, sum eru skrásettar sambært stk. 3, ella sum eru savnaðar sambært stk. 6, til </w:t>
            </w:r>
            <w:proofErr w:type="spellStart"/>
            <w:r>
              <w:t>málførar</w:t>
            </w:r>
            <w:proofErr w:type="spellEnd"/>
            <w:r>
              <w:t xml:space="preserve"> myndugleikar og </w:t>
            </w:r>
            <w:proofErr w:type="spellStart"/>
            <w:r>
              <w:t>eftirlitsmyndugleikar</w:t>
            </w:r>
            <w:proofErr w:type="spellEnd"/>
            <w:r>
              <w:t xml:space="preserve"> á fíggjarøkinum í </w:t>
            </w:r>
            <w:proofErr w:type="spellStart"/>
            <w:r>
              <w:t>ES-limalondum</w:t>
            </w:r>
            <w:proofErr w:type="spellEnd"/>
            <w:r>
              <w:t xml:space="preserve">. </w:t>
            </w:r>
            <w:bookmarkEnd w:id="11"/>
          </w:p>
          <w:p w14:paraId="05979385" w14:textId="77777777" w:rsidR="00A271C6" w:rsidRDefault="00A271C6" w:rsidP="00A271C6">
            <w:pPr>
              <w:pStyle w:val="Listeafsnit"/>
              <w:rPr>
                <w:i/>
                <w:iCs/>
                <w:color w:val="000000"/>
                <w:shd w:val="clear" w:color="auto" w:fill="FFFFFF"/>
              </w:rPr>
            </w:pPr>
          </w:p>
          <w:p w14:paraId="2302FC95" w14:textId="1ADD6FEB" w:rsidR="00A271C6" w:rsidRPr="001D2CF3" w:rsidRDefault="00A271C6" w:rsidP="001D2CF3">
            <w:pPr>
              <w:rPr>
                <w:color w:val="000000"/>
                <w:shd w:val="clear" w:color="auto" w:fill="FFFFFF"/>
              </w:rPr>
            </w:pPr>
            <w:r w:rsidRPr="001D2CF3">
              <w:rPr>
                <w:i/>
                <w:iCs/>
                <w:color w:val="000000"/>
                <w:shd w:val="clear" w:color="auto" w:fill="FFFFFF"/>
              </w:rPr>
              <w:t>Stk. 8.</w:t>
            </w:r>
            <w:r w:rsidRPr="001D2CF3">
              <w:rPr>
                <w:color w:val="000000"/>
                <w:shd w:val="clear" w:color="auto" w:fill="FFFFFF"/>
              </w:rPr>
              <w:t xml:space="preserve"> Landsstýrismaðurin ásetur nærri reglur um skráseting, </w:t>
            </w:r>
            <w:proofErr w:type="spellStart"/>
            <w:r w:rsidRPr="001D2CF3">
              <w:rPr>
                <w:color w:val="000000"/>
                <w:shd w:val="clear" w:color="auto" w:fill="FFFFFF"/>
              </w:rPr>
              <w:t>at</w:t>
            </w:r>
            <w:r w:rsidR="00346B10">
              <w:rPr>
                <w:color w:val="000000"/>
                <w:shd w:val="clear" w:color="auto" w:fill="FFFFFF"/>
              </w:rPr>
              <w:t>k</w:t>
            </w:r>
            <w:r w:rsidRPr="001D2CF3">
              <w:rPr>
                <w:color w:val="000000"/>
                <w:shd w:val="clear" w:color="auto" w:fill="FFFFFF"/>
              </w:rPr>
              <w:t>omu</w:t>
            </w:r>
            <w:proofErr w:type="spellEnd"/>
            <w:r w:rsidRPr="001D2CF3">
              <w:rPr>
                <w:color w:val="000000"/>
                <w:shd w:val="clear" w:color="auto" w:fill="FFFFFF"/>
              </w:rPr>
              <w:t xml:space="preserve"> til og kunngering av upplýsingum eftir stk. 1, 3 og 5 í </w:t>
            </w:r>
            <w:proofErr w:type="spellStart"/>
            <w:r w:rsidRPr="001D2CF3">
              <w:rPr>
                <w:color w:val="000000"/>
                <w:shd w:val="clear" w:color="auto" w:fill="FFFFFF"/>
              </w:rPr>
              <w:t>kt-skipan</w:t>
            </w:r>
            <w:proofErr w:type="spellEnd"/>
            <w:r w:rsidRPr="001D2CF3">
              <w:rPr>
                <w:color w:val="000000"/>
                <w:shd w:val="clear" w:color="auto" w:fill="FFFFFF"/>
              </w:rPr>
              <w:t xml:space="preserve"> Skráseting Føroya, </w:t>
            </w:r>
            <w:proofErr w:type="spellStart"/>
            <w:r w:rsidR="00346B10">
              <w:t>heruppií</w:t>
            </w:r>
            <w:proofErr w:type="spellEnd"/>
            <w:r w:rsidRPr="001D2CF3">
              <w:rPr>
                <w:color w:val="000000"/>
                <w:shd w:val="clear" w:color="auto" w:fill="FFFFFF"/>
              </w:rPr>
              <w:t xml:space="preserve"> hvørjar upplýsingar grunnurin skal skráseta í </w:t>
            </w:r>
            <w:proofErr w:type="spellStart"/>
            <w:r w:rsidRPr="001D2CF3">
              <w:rPr>
                <w:color w:val="000000"/>
                <w:shd w:val="clear" w:color="auto" w:fill="FFFFFF"/>
              </w:rPr>
              <w:t>kt-skipanini</w:t>
            </w:r>
            <w:proofErr w:type="spellEnd"/>
            <w:r w:rsidRPr="001D2CF3">
              <w:rPr>
                <w:color w:val="000000"/>
                <w:shd w:val="clear" w:color="auto" w:fill="FFFFFF"/>
              </w:rPr>
              <w:t>.”</w:t>
            </w:r>
          </w:p>
          <w:p w14:paraId="02526813" w14:textId="77777777" w:rsidR="00334F92" w:rsidRDefault="00334F92" w:rsidP="00FF07E2"/>
        </w:tc>
      </w:tr>
      <w:tr w:rsidR="00334F92" w14:paraId="5D1B134E" w14:textId="77777777" w:rsidTr="009B5EDE">
        <w:tc>
          <w:tcPr>
            <w:tcW w:w="4508" w:type="dxa"/>
          </w:tcPr>
          <w:p w14:paraId="7D6FBCA7" w14:textId="60D92EAD" w:rsidR="00334F92" w:rsidRPr="003A6690" w:rsidRDefault="00486FC9" w:rsidP="00FF07E2">
            <w:r>
              <w:lastRenderedPageBreak/>
              <w:t>Ásetingin er nýggj.</w:t>
            </w:r>
          </w:p>
        </w:tc>
        <w:tc>
          <w:tcPr>
            <w:tcW w:w="4508" w:type="dxa"/>
          </w:tcPr>
          <w:p w14:paraId="465DC47D" w14:textId="1B0D576F" w:rsidR="00486FC9" w:rsidRDefault="00486FC9" w:rsidP="00EF3F7A">
            <w:pPr>
              <w:pStyle w:val="Listeafsnit"/>
              <w:numPr>
                <w:ilvl w:val="0"/>
                <w:numId w:val="8"/>
              </w:numPr>
              <w:rPr>
                <w:bCs/>
              </w:rPr>
            </w:pPr>
            <w:r w:rsidRPr="00550BEC">
              <w:rPr>
                <w:bCs/>
              </w:rPr>
              <w:t>Aftaná § 56 c, áðrenn yvirskriftina “</w:t>
            </w:r>
            <w:proofErr w:type="spellStart"/>
            <w:r w:rsidRPr="00550BEC">
              <w:rPr>
                <w:bCs/>
                <w:i/>
                <w:iCs/>
              </w:rPr>
              <w:t>Fondsmyndighedens</w:t>
            </w:r>
            <w:proofErr w:type="spellEnd"/>
            <w:r w:rsidRPr="00550BEC">
              <w:rPr>
                <w:bCs/>
                <w:i/>
                <w:iCs/>
              </w:rPr>
              <w:t xml:space="preserve"> og </w:t>
            </w:r>
            <w:proofErr w:type="spellStart"/>
            <w:r w:rsidRPr="00550BEC">
              <w:rPr>
                <w:bCs/>
                <w:i/>
                <w:iCs/>
              </w:rPr>
              <w:t>den</w:t>
            </w:r>
            <w:proofErr w:type="spellEnd"/>
            <w:r w:rsidRPr="00550BEC">
              <w:rPr>
                <w:bCs/>
                <w:i/>
                <w:iCs/>
              </w:rPr>
              <w:t xml:space="preserve"> </w:t>
            </w:r>
            <w:proofErr w:type="spellStart"/>
            <w:r w:rsidRPr="00550BEC">
              <w:rPr>
                <w:bCs/>
                <w:i/>
                <w:iCs/>
              </w:rPr>
              <w:t>færøske</w:t>
            </w:r>
            <w:proofErr w:type="spellEnd"/>
            <w:r w:rsidRPr="00550BEC">
              <w:rPr>
                <w:bCs/>
                <w:i/>
                <w:iCs/>
              </w:rPr>
              <w:t xml:space="preserve"> </w:t>
            </w:r>
            <w:proofErr w:type="spellStart"/>
            <w:r w:rsidRPr="00550BEC">
              <w:rPr>
                <w:bCs/>
                <w:i/>
                <w:iCs/>
              </w:rPr>
              <w:t>registreringsmyndigheds</w:t>
            </w:r>
            <w:proofErr w:type="spellEnd"/>
            <w:r w:rsidRPr="00550BEC">
              <w:rPr>
                <w:bCs/>
                <w:i/>
                <w:iCs/>
              </w:rPr>
              <w:t xml:space="preserve"> </w:t>
            </w:r>
            <w:proofErr w:type="spellStart"/>
            <w:r w:rsidRPr="00550BEC">
              <w:rPr>
                <w:bCs/>
                <w:i/>
                <w:iCs/>
              </w:rPr>
              <w:t>opgaver</w:t>
            </w:r>
            <w:proofErr w:type="spellEnd"/>
            <w:r w:rsidRPr="00550BEC">
              <w:rPr>
                <w:bCs/>
                <w:i/>
                <w:iCs/>
              </w:rPr>
              <w:t>”</w:t>
            </w:r>
            <w:r w:rsidRPr="00550BEC">
              <w:rPr>
                <w:bCs/>
              </w:rPr>
              <w:t xml:space="preserve">, verður sett: </w:t>
            </w:r>
          </w:p>
          <w:p w14:paraId="69DFEDF3" w14:textId="77777777" w:rsidR="00EF3F7A" w:rsidRPr="00EF3F7A" w:rsidRDefault="00EF3F7A" w:rsidP="00EF3F7A">
            <w:pPr>
              <w:pStyle w:val="Listeafsnit"/>
              <w:ind w:left="360"/>
              <w:rPr>
                <w:bCs/>
              </w:rPr>
            </w:pPr>
          </w:p>
          <w:p w14:paraId="1647CEB9" w14:textId="50AFD807" w:rsidR="00486FC9" w:rsidRPr="001D2CF3" w:rsidRDefault="00486FC9" w:rsidP="001D2CF3">
            <w:pPr>
              <w:rPr>
                <w:bCs/>
              </w:rPr>
            </w:pPr>
            <w:r w:rsidRPr="001D2CF3">
              <w:rPr>
                <w:bCs/>
              </w:rPr>
              <w:t xml:space="preserve">“§ 56 d. Tá ein vinnurekandi grunnur verður stovnaður, skulu upplýsingar um grunsins veruligu eigarar, </w:t>
            </w:r>
            <w:proofErr w:type="spellStart"/>
            <w:r w:rsidR="00346B10">
              <w:t>heruppií</w:t>
            </w:r>
            <w:proofErr w:type="spellEnd"/>
            <w:r w:rsidR="00346B10" w:rsidRPr="001D2CF3">
              <w:rPr>
                <w:bCs/>
              </w:rPr>
              <w:t xml:space="preserve"> </w:t>
            </w:r>
            <w:r w:rsidRPr="001D2CF3">
              <w:rPr>
                <w:bCs/>
              </w:rPr>
              <w:t>rættindi hjá teimum veruligu eigarunum, innheintast og skrásetast í seinasta lagi samstundis við skrásetingina av grunninum sbrt. § 5, stk. 1.”</w:t>
            </w:r>
          </w:p>
          <w:p w14:paraId="42A55E2F" w14:textId="77777777" w:rsidR="00334F92" w:rsidRDefault="00334F92" w:rsidP="00FF07E2"/>
        </w:tc>
      </w:tr>
      <w:tr w:rsidR="00334F92" w14:paraId="307C58F5" w14:textId="77777777" w:rsidTr="009B5EDE">
        <w:tc>
          <w:tcPr>
            <w:tcW w:w="4508" w:type="dxa"/>
          </w:tcPr>
          <w:p w14:paraId="72C07631" w14:textId="02566FDD" w:rsidR="00334F92" w:rsidRDefault="003244A5" w:rsidP="00FF07E2">
            <w:r>
              <w:lastRenderedPageBreak/>
              <w:t>Ásetingin er nýggj.</w:t>
            </w:r>
          </w:p>
        </w:tc>
        <w:tc>
          <w:tcPr>
            <w:tcW w:w="4508" w:type="dxa"/>
          </w:tcPr>
          <w:p w14:paraId="4307BAB8" w14:textId="77777777" w:rsidR="003244A5" w:rsidRPr="008C63D3" w:rsidRDefault="003244A5" w:rsidP="003244A5">
            <w:pPr>
              <w:pStyle w:val="Listeafsnit"/>
              <w:numPr>
                <w:ilvl w:val="0"/>
                <w:numId w:val="8"/>
              </w:numPr>
              <w:rPr>
                <w:bCs/>
              </w:rPr>
            </w:pPr>
            <w:r>
              <w:rPr>
                <w:bCs/>
              </w:rPr>
              <w:t xml:space="preserve">Aftaná § 56 d, verður sett: </w:t>
            </w:r>
          </w:p>
          <w:p w14:paraId="1A92F552" w14:textId="77777777" w:rsidR="003244A5" w:rsidRDefault="003244A5" w:rsidP="003244A5"/>
          <w:p w14:paraId="12DA016A" w14:textId="77777777" w:rsidR="003244A5" w:rsidRPr="00E45DCB" w:rsidRDefault="003244A5" w:rsidP="001D2CF3">
            <w:r>
              <w:t xml:space="preserve">“§ 56 e. Grunnar, sum skulu savna, varðveita og skráseta upplýsingar um veruligar eigarar, sbrt. § 56 b, skulu eftir áheitan útvega persónum og fyritøkum, sum sambært </w:t>
            </w:r>
            <w:proofErr w:type="spellStart"/>
            <w:r>
              <w:t>hvítvasklóggávuni</w:t>
            </w:r>
            <w:proofErr w:type="spellEnd"/>
            <w:r>
              <w:t xml:space="preserve"> hava skyldu til at gera </w:t>
            </w:r>
            <w:proofErr w:type="spellStart"/>
            <w:r>
              <w:t>kundakunnleikamannagongdir</w:t>
            </w:r>
            <w:proofErr w:type="spellEnd"/>
            <w:r>
              <w:t xml:space="preserve">, upplýsingar um eigaraviðurskifti grunsins.  </w:t>
            </w:r>
          </w:p>
          <w:p w14:paraId="507502F1" w14:textId="77777777" w:rsidR="003244A5" w:rsidRDefault="003244A5" w:rsidP="003244A5">
            <w:pPr>
              <w:pStyle w:val="Listeafsnit"/>
              <w:rPr>
                <w:i/>
                <w:iCs/>
              </w:rPr>
            </w:pPr>
          </w:p>
          <w:p w14:paraId="33FEC3AC" w14:textId="77777777" w:rsidR="003244A5" w:rsidRDefault="003244A5" w:rsidP="001D2CF3">
            <w:r w:rsidRPr="001D2CF3">
              <w:rPr>
                <w:i/>
                <w:iCs/>
              </w:rPr>
              <w:t xml:space="preserve">Stk. 2. </w:t>
            </w:r>
            <w:r>
              <w:t xml:space="preserve">Fær Skráseting Føroya fráboðan sambært </w:t>
            </w:r>
            <w:proofErr w:type="spellStart"/>
            <w:r>
              <w:t>hvítvasklóggávuni</w:t>
            </w:r>
            <w:proofErr w:type="spellEnd"/>
            <w:r>
              <w:t xml:space="preserve">, um ósamsvar í skrásettu upplýsingunum um grunsins veruligu eigarar, setur Skráseting Føroya eina kanning í verk, sbrt. § 57, stk. 3, av hesum viðurskiftum. Skráseting Føroya kann mótvegis grunninum áseta eina freist fyri rætting av upplýsingunum.  </w:t>
            </w:r>
          </w:p>
          <w:p w14:paraId="4FA57B72" w14:textId="77777777" w:rsidR="003244A5" w:rsidRDefault="003244A5" w:rsidP="003244A5">
            <w:pPr>
              <w:pStyle w:val="Listeafsnit"/>
              <w:rPr>
                <w:i/>
                <w:iCs/>
              </w:rPr>
            </w:pPr>
          </w:p>
          <w:p w14:paraId="1A7D95B7" w14:textId="77777777" w:rsidR="003244A5" w:rsidRPr="00E45DCB" w:rsidRDefault="003244A5" w:rsidP="001D2CF3">
            <w:r w:rsidRPr="001D2CF3">
              <w:rPr>
                <w:i/>
                <w:iCs/>
              </w:rPr>
              <w:t xml:space="preserve">Stk. 3. </w:t>
            </w:r>
            <w:r>
              <w:t xml:space="preserve">Skráseting Føroya kann samstundis sum kanningin eftir stk. 2 verður gjørd, almannakunngera eina frágreiðing um fráboðanina í </w:t>
            </w:r>
            <w:proofErr w:type="spellStart"/>
            <w:r w:rsidRPr="001D2CF3">
              <w:rPr>
                <w:color w:val="000000"/>
                <w:shd w:val="clear" w:color="auto" w:fill="FFFFFF"/>
              </w:rPr>
              <w:t>kt-skipan</w:t>
            </w:r>
            <w:proofErr w:type="spellEnd"/>
            <w:r w:rsidRPr="001D2CF3">
              <w:rPr>
                <w:color w:val="000000"/>
                <w:shd w:val="clear" w:color="auto" w:fill="FFFFFF"/>
              </w:rPr>
              <w:t xml:space="preserve"> Skráseting Føroya. Grunnurin skal hava møguleika til at mótmæla fráboðanina, áðrenn hon verður almannakunngjørd, uttan so at endamálið við almannakunngerð av frágreiðingini um fráboðanina fer fyri skeytið.”</w:t>
            </w:r>
          </w:p>
          <w:p w14:paraId="5C83345A" w14:textId="77777777" w:rsidR="00334F92" w:rsidRDefault="00334F92" w:rsidP="003244A5">
            <w:pPr>
              <w:ind w:firstLine="720"/>
            </w:pPr>
          </w:p>
        </w:tc>
      </w:tr>
      <w:tr w:rsidR="00334F92" w14:paraId="3C479A9A" w14:textId="77777777" w:rsidTr="009B5EDE">
        <w:tc>
          <w:tcPr>
            <w:tcW w:w="4508" w:type="dxa"/>
          </w:tcPr>
          <w:p w14:paraId="2D6D76F0" w14:textId="1B09DA86" w:rsidR="001D6054" w:rsidRPr="001D6054" w:rsidRDefault="004C105C" w:rsidP="004C105C">
            <w:pPr>
              <w:pStyle w:val="stk0"/>
              <w:rPr>
                <w:spacing w:val="-1"/>
              </w:rPr>
            </w:pPr>
            <w:r w:rsidRPr="004C105C">
              <w:rPr>
                <w:b/>
                <w:bCs/>
              </w:rPr>
              <w:t>§ 63.</w:t>
            </w:r>
            <w:r>
              <w:t xml:space="preserve"> </w:t>
            </w:r>
            <w:r>
              <w:rPr>
                <w:i/>
                <w:iCs/>
              </w:rPr>
              <w:t>Stk. 2.</w:t>
            </w:r>
            <w:r>
              <w:t xml:space="preserve"> Med bøde straffes forsætlig eller groft uagtsom overtrædelse af § 23, § 25, stk. 3, § 51, § 56 b, stk. 2 og 3 </w:t>
            </w:r>
            <w:r>
              <w:rPr>
                <w:spacing w:val="-1"/>
              </w:rPr>
              <w:t xml:space="preserve">eller § 67, stk. 1. </w:t>
            </w:r>
          </w:p>
        </w:tc>
        <w:tc>
          <w:tcPr>
            <w:tcW w:w="4508" w:type="dxa"/>
          </w:tcPr>
          <w:p w14:paraId="58CA2ACE" w14:textId="77777777" w:rsidR="004C105C" w:rsidRPr="00550BEC" w:rsidRDefault="004C105C" w:rsidP="004C105C">
            <w:pPr>
              <w:pStyle w:val="Listeafsnit"/>
              <w:numPr>
                <w:ilvl w:val="0"/>
                <w:numId w:val="8"/>
              </w:numPr>
              <w:rPr>
                <w:bCs/>
              </w:rPr>
            </w:pPr>
            <w:r>
              <w:t>Í § 63, stk. 2 verður “56 b, stk. 2 og 3” broytt til “56 b, stk. 3, 5 og 6”.</w:t>
            </w:r>
          </w:p>
          <w:p w14:paraId="5B78970C" w14:textId="77777777" w:rsidR="00334F92" w:rsidRDefault="00334F92" w:rsidP="00FF07E2"/>
        </w:tc>
      </w:tr>
      <w:tr w:rsidR="00334F92" w14:paraId="1F99CE56" w14:textId="77777777" w:rsidTr="009B5EDE">
        <w:tc>
          <w:tcPr>
            <w:tcW w:w="4508" w:type="dxa"/>
          </w:tcPr>
          <w:p w14:paraId="2202C75C" w14:textId="0958B921" w:rsidR="00334F92" w:rsidRDefault="006243AE" w:rsidP="00FF07E2">
            <w:r>
              <w:rPr>
                <w:b/>
                <w:bCs/>
              </w:rPr>
              <w:t xml:space="preserve">§ 63. </w:t>
            </w:r>
            <w:r>
              <w:rPr>
                <w:i/>
                <w:iCs/>
              </w:rPr>
              <w:t>Stk. 3.</w:t>
            </w:r>
            <w:r>
              <w:t xml:space="preserve"> </w:t>
            </w:r>
            <w:proofErr w:type="spellStart"/>
            <w:r>
              <w:t>Med</w:t>
            </w:r>
            <w:proofErr w:type="spellEnd"/>
            <w:r>
              <w:t xml:space="preserve"> </w:t>
            </w:r>
            <w:proofErr w:type="spellStart"/>
            <w:r>
              <w:t>bøde</w:t>
            </w:r>
            <w:proofErr w:type="spellEnd"/>
            <w:r>
              <w:t xml:space="preserve"> </w:t>
            </w:r>
            <w:proofErr w:type="spellStart"/>
            <w:r>
              <w:t>straffes</w:t>
            </w:r>
            <w:proofErr w:type="spellEnd"/>
            <w:r>
              <w:t xml:space="preserve"> grov </w:t>
            </w:r>
            <w:proofErr w:type="spellStart"/>
            <w:r>
              <w:t>eller</w:t>
            </w:r>
            <w:proofErr w:type="spellEnd"/>
            <w:r>
              <w:t xml:space="preserve"> </w:t>
            </w:r>
            <w:proofErr w:type="spellStart"/>
            <w:r>
              <w:t>gentagen</w:t>
            </w:r>
            <w:proofErr w:type="spellEnd"/>
            <w:r>
              <w:t xml:space="preserve"> </w:t>
            </w:r>
            <w:proofErr w:type="spellStart"/>
            <w:r>
              <w:t>overtrædelse</w:t>
            </w:r>
            <w:proofErr w:type="spellEnd"/>
            <w:r>
              <w:t xml:space="preserve"> </w:t>
            </w:r>
            <w:proofErr w:type="spellStart"/>
            <w:r>
              <w:t>af</w:t>
            </w:r>
            <w:proofErr w:type="spellEnd"/>
            <w:r>
              <w:t xml:space="preserve"> § 19, stk. 1, § 21, stk. 3, § 21 a, § 43 og § 56 b, stk. 2 og 3.</w:t>
            </w:r>
          </w:p>
        </w:tc>
        <w:tc>
          <w:tcPr>
            <w:tcW w:w="4508" w:type="dxa"/>
          </w:tcPr>
          <w:p w14:paraId="74AA87C1" w14:textId="77777777" w:rsidR="006243AE" w:rsidRPr="00550BEC" w:rsidRDefault="006243AE" w:rsidP="006243AE">
            <w:pPr>
              <w:pStyle w:val="Listeafsnit"/>
              <w:numPr>
                <w:ilvl w:val="0"/>
                <w:numId w:val="6"/>
              </w:numPr>
              <w:rPr>
                <w:bCs/>
              </w:rPr>
            </w:pPr>
            <w:r>
              <w:t>Í § 63, stk. 2 verður “56 b, stk. 2 og 3” broytt til “56 b, stk. 3, 5 og 6”.</w:t>
            </w:r>
          </w:p>
          <w:p w14:paraId="5FA6DDDA" w14:textId="77777777" w:rsidR="00334F92" w:rsidRDefault="00334F92" w:rsidP="00FF07E2"/>
        </w:tc>
      </w:tr>
      <w:tr w:rsidR="00334F92" w14:paraId="67C18A96" w14:textId="77777777" w:rsidTr="009B5EDE">
        <w:tc>
          <w:tcPr>
            <w:tcW w:w="4508" w:type="dxa"/>
          </w:tcPr>
          <w:p w14:paraId="6A8D806C" w14:textId="77777777" w:rsidR="00334F92" w:rsidRDefault="00334F92" w:rsidP="00FF07E2"/>
        </w:tc>
        <w:tc>
          <w:tcPr>
            <w:tcW w:w="4508" w:type="dxa"/>
          </w:tcPr>
          <w:p w14:paraId="2E7A4117" w14:textId="77777777" w:rsidR="00334F92" w:rsidRPr="00EF3F7A" w:rsidRDefault="00667896" w:rsidP="00667896">
            <w:pPr>
              <w:jc w:val="center"/>
              <w:rPr>
                <w:b/>
                <w:bCs/>
              </w:rPr>
            </w:pPr>
            <w:r w:rsidRPr="00EF3F7A">
              <w:rPr>
                <w:b/>
                <w:bCs/>
              </w:rPr>
              <w:t xml:space="preserve">§ 4. </w:t>
            </w:r>
          </w:p>
          <w:p w14:paraId="51849E81" w14:textId="7CBF1D87" w:rsidR="00667896" w:rsidRDefault="00AA3703" w:rsidP="005C039A">
            <w:r>
              <w:t>Í l</w:t>
            </w:r>
            <w:r w:rsidRPr="00BD5960">
              <w:t>øgtingslóg</w:t>
            </w:r>
            <w:r w:rsidR="005C039A">
              <w:t xml:space="preserve"> nr. 55 frá 9. Juni 2008</w:t>
            </w:r>
            <w:r w:rsidR="005C039A" w:rsidRPr="00BD5960">
              <w:t xml:space="preserve"> </w:t>
            </w:r>
            <w:r w:rsidR="005C039A">
              <w:t>s</w:t>
            </w:r>
            <w:r w:rsidRPr="00BD5960">
              <w:t>um tryggingarvirksemi, sum broytt við løgtingslóg nr. 69 frá 27. mai 2011</w:t>
            </w:r>
            <w:r>
              <w:t>, við l</w:t>
            </w:r>
            <w:r w:rsidRPr="00BD5960">
              <w:t>øgtingslóg nr. 137 frá 20. desember 2012</w:t>
            </w:r>
            <w:r>
              <w:t xml:space="preserve">, </w:t>
            </w:r>
            <w:r>
              <w:lastRenderedPageBreak/>
              <w:t>við l</w:t>
            </w:r>
            <w:r w:rsidRPr="00BD5960">
              <w:t>øgtingslóg nr. 53 frá 12. mai 2015</w:t>
            </w:r>
            <w:r>
              <w:t>, við l</w:t>
            </w:r>
            <w:r w:rsidRPr="00BD5960">
              <w:t>øgtingslóg nr. 65 frá 30. apríl 2018</w:t>
            </w:r>
            <w:r>
              <w:t>, við l</w:t>
            </w:r>
            <w:r w:rsidRPr="00BD5960">
              <w:t>øgtingslóg nr. 45 frá 26. apríl 2019</w:t>
            </w:r>
            <w:r>
              <w:t>, við l</w:t>
            </w:r>
            <w:r w:rsidRPr="00BD5960">
              <w:t>øgtingslóg nr. 91 frá 7. juni 2020</w:t>
            </w:r>
            <w:r>
              <w:t>, við l</w:t>
            </w:r>
            <w:r w:rsidRPr="00BD5960">
              <w:t>øgtingslóg nr. 43 frá 22. apríl 2021</w:t>
            </w:r>
            <w:r>
              <w:t>, við l</w:t>
            </w:r>
            <w:r w:rsidRPr="00BD5960">
              <w:t>øgtingslóg nr. 31 frá 17. mars 2022</w:t>
            </w:r>
            <w:r>
              <w:t xml:space="preserve"> og við l</w:t>
            </w:r>
            <w:r w:rsidRPr="00BD5960">
              <w:t>øgtingslóg nr. 31 frá 9. mars 2023</w:t>
            </w:r>
            <w:r>
              <w:t>, verða gjørdar hesar broytingar:</w:t>
            </w:r>
          </w:p>
        </w:tc>
      </w:tr>
      <w:tr w:rsidR="00A9333C" w14:paraId="47D923D2" w14:textId="77777777" w:rsidTr="009B5EDE">
        <w:tc>
          <w:tcPr>
            <w:tcW w:w="4508" w:type="dxa"/>
          </w:tcPr>
          <w:p w14:paraId="5E77AB69" w14:textId="77777777" w:rsidR="008535EF" w:rsidRDefault="008535EF" w:rsidP="00FF07E2"/>
          <w:p w14:paraId="5092EEEE" w14:textId="77777777" w:rsidR="008535EF" w:rsidRDefault="008535EF" w:rsidP="00FF07E2"/>
          <w:p w14:paraId="7D9716D3" w14:textId="77777777" w:rsidR="008535EF" w:rsidRDefault="008535EF" w:rsidP="00FF07E2"/>
          <w:p w14:paraId="287F08DC" w14:textId="77777777" w:rsidR="008535EF" w:rsidRPr="008535EF" w:rsidRDefault="008535EF" w:rsidP="00FF07E2">
            <w:pPr>
              <w:rPr>
                <w:i/>
                <w:iCs/>
              </w:rPr>
            </w:pPr>
          </w:p>
          <w:p w14:paraId="0BD833B2" w14:textId="28538E18" w:rsidR="00A9333C" w:rsidRDefault="008535EF" w:rsidP="00FF07E2">
            <w:r w:rsidRPr="008535EF">
              <w:rPr>
                <w:i/>
                <w:iCs/>
              </w:rPr>
              <w:t>Serstakar reglur fyri sínámillum tryggingarfeløg viðvíkjandi stovnan o.ø.</w:t>
            </w:r>
          </w:p>
        </w:tc>
        <w:tc>
          <w:tcPr>
            <w:tcW w:w="4508" w:type="dxa"/>
          </w:tcPr>
          <w:p w14:paraId="280FF7C5" w14:textId="77777777" w:rsidR="00F01E75" w:rsidRDefault="00421B22" w:rsidP="00F01E75">
            <w:pPr>
              <w:pStyle w:val="Listeafsnit"/>
              <w:numPr>
                <w:ilvl w:val="0"/>
                <w:numId w:val="14"/>
              </w:numPr>
              <w:rPr>
                <w:bCs/>
              </w:rPr>
            </w:pPr>
            <w:r w:rsidRPr="00421B22">
              <w:rPr>
                <w:bCs/>
              </w:rPr>
              <w:t xml:space="preserve">Yvirskriftin frammanfyri § 17 verður orðað soleiðis: </w:t>
            </w:r>
          </w:p>
          <w:p w14:paraId="4859D227" w14:textId="77777777" w:rsidR="00F01E75" w:rsidRDefault="00F01E75" w:rsidP="00F01E75">
            <w:pPr>
              <w:pStyle w:val="Listeafsnit"/>
              <w:ind w:left="360"/>
              <w:rPr>
                <w:bCs/>
              </w:rPr>
            </w:pPr>
          </w:p>
          <w:p w14:paraId="2C83502C" w14:textId="07A10C19" w:rsidR="00F01E75" w:rsidRPr="00F01E75" w:rsidRDefault="00F01E75" w:rsidP="00F01E75">
            <w:pPr>
              <w:rPr>
                <w:bCs/>
              </w:rPr>
            </w:pPr>
            <w:r w:rsidRPr="00F01E75">
              <w:rPr>
                <w:bCs/>
              </w:rPr>
              <w:t>“Serstakar reglur fyri sínámillum tryggingarfeløg og tvørgangandi eftirlønargrunnar viðvíkjandi stovnan o.ø.”</w:t>
            </w:r>
          </w:p>
          <w:p w14:paraId="0043E5F2" w14:textId="5EA19037" w:rsidR="00A9333C" w:rsidRPr="00F01E75" w:rsidRDefault="00A9333C" w:rsidP="00F01E75">
            <w:pPr>
              <w:rPr>
                <w:b/>
                <w:bCs/>
              </w:rPr>
            </w:pPr>
          </w:p>
        </w:tc>
      </w:tr>
      <w:tr w:rsidR="00334F92" w14:paraId="5C3F77BE" w14:textId="77777777" w:rsidTr="009B5EDE">
        <w:tc>
          <w:tcPr>
            <w:tcW w:w="4508" w:type="dxa"/>
          </w:tcPr>
          <w:p w14:paraId="06590613" w14:textId="77777777" w:rsidR="00334F92" w:rsidRPr="00876CD5" w:rsidRDefault="00876CD5" w:rsidP="00FF07E2">
            <w:r>
              <w:rPr>
                <w:b/>
                <w:bCs/>
              </w:rPr>
              <w:t xml:space="preserve">§ 17. </w:t>
            </w:r>
            <w:r w:rsidRPr="00876CD5">
              <w:t>(...)</w:t>
            </w:r>
          </w:p>
          <w:p w14:paraId="6E21E9CE" w14:textId="77777777" w:rsidR="00876CD5" w:rsidRDefault="00876CD5" w:rsidP="00FF07E2">
            <w:pPr>
              <w:rPr>
                <w:b/>
                <w:bCs/>
              </w:rPr>
            </w:pPr>
          </w:p>
          <w:p w14:paraId="150B6BC9" w14:textId="5E8EEEDC" w:rsidR="00876CD5" w:rsidRPr="00876CD5" w:rsidRDefault="00876CD5" w:rsidP="00876CD5">
            <w:pPr>
              <w:pStyle w:val="stk0"/>
              <w:rPr>
                <w:lang w:val="fo-FO"/>
              </w:rPr>
            </w:pPr>
            <w:r w:rsidRPr="00876CD5">
              <w:rPr>
                <w:i/>
                <w:iCs/>
                <w:lang w:val="fo-FO"/>
              </w:rPr>
              <w:t>Stk. 3</w:t>
            </w:r>
            <w:r w:rsidRPr="00876CD5">
              <w:rPr>
                <w:lang w:val="fo-FO"/>
              </w:rPr>
              <w:t xml:space="preserve">. </w:t>
            </w:r>
            <w:bookmarkStart w:id="12" w:name="_ednref5"/>
            <w:r w:rsidRPr="00876CD5">
              <w:rPr>
                <w:lang w:val="fo-FO"/>
              </w:rPr>
              <w:t xml:space="preserve">Eitt sínámillum tryggingarfelag og ein tvørgangandi eftirlønargrunnur skal savna upplýsingar um veruligu eigararnar av sínámillum tryggingarfelagnum og tvørgangandi eftirlønargrunninum, undir hesum rættindi hjá teimum veruligu eigarunum. Eru eingir veruligur eigarar, ella kunnu eingir veruligir eigarar </w:t>
            </w:r>
            <w:proofErr w:type="spellStart"/>
            <w:r w:rsidRPr="00876CD5">
              <w:rPr>
                <w:lang w:val="fo-FO"/>
              </w:rPr>
              <w:t>eyðmerkjast</w:t>
            </w:r>
            <w:proofErr w:type="spellEnd"/>
            <w:r w:rsidRPr="00876CD5">
              <w:rPr>
                <w:lang w:val="fo-FO"/>
              </w:rPr>
              <w:t xml:space="preserve">, skulu limirnir í stjórnini hjá sínámillum tryggingarfelagnum og tvørgangandi eftirlønargrunninum skrásetast í </w:t>
            </w:r>
            <w:proofErr w:type="spellStart"/>
            <w:r w:rsidRPr="00876CD5">
              <w:rPr>
                <w:lang w:val="fo-FO"/>
              </w:rPr>
              <w:t>kt-skipan</w:t>
            </w:r>
            <w:proofErr w:type="spellEnd"/>
            <w:r w:rsidRPr="00876CD5">
              <w:rPr>
                <w:lang w:val="fo-FO"/>
              </w:rPr>
              <w:t xml:space="preserve"> Skráseting Føroya sum veruligir eigarar.</w:t>
            </w:r>
          </w:p>
          <w:p w14:paraId="7232BD8F" w14:textId="275AB999" w:rsidR="00876CD5" w:rsidRPr="00876CD5" w:rsidRDefault="00876CD5" w:rsidP="00876CD5">
            <w:pPr>
              <w:pStyle w:val="stk0"/>
              <w:rPr>
                <w:lang w:val="fo-FO"/>
              </w:rPr>
            </w:pPr>
            <w:r w:rsidRPr="00876CD5">
              <w:rPr>
                <w:i/>
                <w:iCs/>
                <w:lang w:val="fo-FO"/>
              </w:rPr>
              <w:t>Stk. 4</w:t>
            </w:r>
            <w:r w:rsidRPr="00876CD5">
              <w:rPr>
                <w:lang w:val="fo-FO"/>
              </w:rPr>
              <w:t xml:space="preserve">. Sínámillum tryggingarfelagið og tvørgangandi eftirlønargrunnurin skulu skjótast gjørligt eftir, at sínámillum tryggingarfelagið og tvørgangandi eftirlønargrunnurin eru vorðin kunnug við, at ein persónur er blivin veruligur eigari, og eftir eina og hvørja broyting av teimum upplýsingum, sum eru skrásettar, skráseta upplýsingarnar eftir stk. 3 í </w:t>
            </w:r>
            <w:proofErr w:type="spellStart"/>
            <w:r w:rsidRPr="00876CD5">
              <w:rPr>
                <w:lang w:val="fo-FO"/>
              </w:rPr>
              <w:t>kt-skipan</w:t>
            </w:r>
            <w:proofErr w:type="spellEnd"/>
            <w:r w:rsidRPr="00876CD5">
              <w:rPr>
                <w:lang w:val="fo-FO"/>
              </w:rPr>
              <w:t xml:space="preserve"> Skráseting Føroya. Sínámillum tryggingarfelagið og tvørgangandi eftirlønargrunnurin skulu goyma upplýsingarnar um tess veruligu eigarar í fimm ár eftir, at veruligu eigaraviðurskiftini hildu uppat. Sínámillum tryggingarfelagið og tvørgangandi eftirlønargrunnurin skulu harumframt goyma upplýsingar um royndir at eyðmerkja veruligar eigarar í fimm ár </w:t>
            </w:r>
            <w:r w:rsidRPr="00876CD5">
              <w:rPr>
                <w:lang w:val="fo-FO"/>
              </w:rPr>
              <w:lastRenderedPageBreak/>
              <w:t>eftir, at royndirnar at eyðmerkja vórðu framdar.</w:t>
            </w:r>
          </w:p>
          <w:p w14:paraId="1F9F08FE" w14:textId="302B16DA" w:rsidR="00876CD5" w:rsidRPr="00876CD5" w:rsidRDefault="00876CD5" w:rsidP="00876CD5">
            <w:pPr>
              <w:pStyle w:val="stk0"/>
              <w:rPr>
                <w:lang w:val="fo-FO"/>
              </w:rPr>
            </w:pPr>
            <w:r w:rsidRPr="00876CD5">
              <w:rPr>
                <w:i/>
                <w:iCs/>
                <w:lang w:val="fo-FO"/>
              </w:rPr>
              <w:t>Stk. 5.</w:t>
            </w:r>
            <w:r w:rsidRPr="00876CD5">
              <w:rPr>
                <w:lang w:val="fo-FO"/>
              </w:rPr>
              <w:t xml:space="preserve"> Sínámillum tryggingarfelagið og tvørgangandi eftirlønargrunnurin skulu eftir áheitan útflýggja upplýsingar til Føroya Landfúta um veruligu eigararnar av sínámillum tryggingarfelagnum og tvørgangandi eftirlønargrunninum, undir hesum um royndir hjá sínámillum tryggingarfelagnum og tvørgangandi eftirlønargrunninum at eyðmerkja tess veruligu eigarar. Sínámillum tryggingarfelagið og tvørgangandi eftirlønargrunnurin skulu harumframt eftir áheitan útflýggja nevndu upplýsingar til aðrar almennar myndugleikar, tá ið hesir myndugleikar meta, at upplýsingarnar eru neyðugar fyri røkt av teirra </w:t>
            </w:r>
            <w:proofErr w:type="spellStart"/>
            <w:r w:rsidRPr="00876CD5">
              <w:rPr>
                <w:lang w:val="fo-FO"/>
              </w:rPr>
              <w:t>eftirlitsuppgávum</w:t>
            </w:r>
            <w:proofErr w:type="spellEnd"/>
            <w:r w:rsidRPr="00876CD5">
              <w:rPr>
                <w:lang w:val="fo-FO"/>
              </w:rPr>
              <w:t xml:space="preserve"> ella </w:t>
            </w:r>
            <w:proofErr w:type="spellStart"/>
            <w:r w:rsidRPr="00876CD5">
              <w:rPr>
                <w:lang w:val="fo-FO"/>
              </w:rPr>
              <w:t>umsjónaruppgávum</w:t>
            </w:r>
            <w:proofErr w:type="spellEnd"/>
            <w:r w:rsidRPr="00876CD5">
              <w:rPr>
                <w:lang w:val="fo-FO"/>
              </w:rPr>
              <w:t>.</w:t>
            </w:r>
          </w:p>
          <w:p w14:paraId="3328BD6F" w14:textId="77777777" w:rsidR="00876CD5" w:rsidRPr="00876CD5" w:rsidRDefault="00876CD5" w:rsidP="00876CD5">
            <w:pPr>
              <w:pStyle w:val="stk0"/>
              <w:rPr>
                <w:lang w:val="fo-FO"/>
              </w:rPr>
            </w:pPr>
            <w:r w:rsidRPr="00876CD5">
              <w:rPr>
                <w:i/>
                <w:iCs/>
                <w:lang w:val="fo-FO"/>
              </w:rPr>
              <w:t>Stk. 6.</w:t>
            </w:r>
            <w:r w:rsidRPr="00876CD5">
              <w:rPr>
                <w:lang w:val="fo-FO"/>
              </w:rPr>
              <w:t xml:space="preserve"> </w:t>
            </w:r>
            <w:hyperlink r:id="rId12" w:anchor="_edn5" w:history="1">
              <w:r w:rsidRPr="00876CD5">
                <w:rPr>
                  <w:rStyle w:val="Fodnotehenvisning"/>
                  <w:color w:val="0000FF"/>
                  <w:u w:val="single"/>
                  <w:vertAlign w:val="superscript"/>
                  <w:lang w:val="fo-FO"/>
                </w:rPr>
                <w:t>5)</w:t>
              </w:r>
            </w:hyperlink>
            <w:bookmarkEnd w:id="12"/>
            <w:r w:rsidRPr="00876CD5">
              <w:rPr>
                <w:lang w:val="fo-FO"/>
              </w:rPr>
              <w:t xml:space="preserve"> Landsstýrismaðurin ásetur nærri reglur um skráseting og kunngering av upplýsingum eftir stk. 3 og 4 í </w:t>
            </w:r>
            <w:proofErr w:type="spellStart"/>
            <w:r w:rsidRPr="00876CD5">
              <w:rPr>
                <w:lang w:val="fo-FO"/>
              </w:rPr>
              <w:t>kt-skipan</w:t>
            </w:r>
            <w:proofErr w:type="spellEnd"/>
            <w:r w:rsidRPr="00876CD5">
              <w:rPr>
                <w:lang w:val="fo-FO"/>
              </w:rPr>
              <w:t xml:space="preserve"> Skráseting Føroya, undir hesum hvørjar upplýsingar sínámillum tryggingarfelagið og tvørgangandi eftirlønargrunnurin skulu skráseta í </w:t>
            </w:r>
            <w:proofErr w:type="spellStart"/>
            <w:r w:rsidRPr="00876CD5">
              <w:rPr>
                <w:lang w:val="fo-FO"/>
              </w:rPr>
              <w:t>kt-skipan</w:t>
            </w:r>
            <w:proofErr w:type="spellEnd"/>
            <w:r w:rsidRPr="00876CD5">
              <w:rPr>
                <w:lang w:val="fo-FO"/>
              </w:rPr>
              <w:t xml:space="preserve"> Skráseting Føroya.</w:t>
            </w:r>
          </w:p>
          <w:p w14:paraId="06EE8086" w14:textId="204ABC2E" w:rsidR="00876CD5" w:rsidRDefault="00876CD5" w:rsidP="00FF07E2"/>
        </w:tc>
        <w:tc>
          <w:tcPr>
            <w:tcW w:w="4508" w:type="dxa"/>
          </w:tcPr>
          <w:p w14:paraId="0162FE4D" w14:textId="1D56F494" w:rsidR="00AF4D41" w:rsidRPr="00421B22" w:rsidRDefault="00AF4D41" w:rsidP="00421B22">
            <w:pPr>
              <w:pStyle w:val="Listeafsnit"/>
              <w:numPr>
                <w:ilvl w:val="0"/>
                <w:numId w:val="14"/>
              </w:numPr>
              <w:rPr>
                <w:bCs/>
              </w:rPr>
            </w:pPr>
            <w:r>
              <w:lastRenderedPageBreak/>
              <w:t xml:space="preserve">§ 17, stk. 3-6 verða settar úr gildi, og í staðin verður sett: </w:t>
            </w:r>
          </w:p>
          <w:p w14:paraId="1132152F" w14:textId="77777777" w:rsidR="00F26FE4" w:rsidRDefault="00F26FE4" w:rsidP="00F26FE4"/>
          <w:p w14:paraId="017C9E63" w14:textId="2F99B768" w:rsidR="002C3B62" w:rsidRPr="00F26FE4" w:rsidRDefault="002C3B62" w:rsidP="00F26FE4">
            <w:pPr>
              <w:rPr>
                <w:bCs/>
              </w:rPr>
            </w:pPr>
            <w:r>
              <w:t>“</w:t>
            </w:r>
            <w:r w:rsidRPr="00F26FE4">
              <w:rPr>
                <w:i/>
                <w:iCs/>
                <w:color w:val="000000"/>
                <w:shd w:val="clear" w:color="auto" w:fill="FFFFFF"/>
              </w:rPr>
              <w:t>Stk. 3</w:t>
            </w:r>
            <w:r w:rsidRPr="00F26FE4">
              <w:rPr>
                <w:color w:val="000000"/>
                <w:shd w:val="clear" w:color="auto" w:fill="FFFFFF"/>
              </w:rPr>
              <w:t xml:space="preserve">. Eitt sínámillum tryggingarfelag og ein tvørgangandi eftirlønargrunnur skal savna upplýsingar um veruligu eigararnar av sínámillum tryggingarfelagnum og tvørgangandi eftirlønargrunninum, </w:t>
            </w:r>
            <w:proofErr w:type="spellStart"/>
            <w:r w:rsidR="00DB2945">
              <w:rPr>
                <w:color w:val="000000"/>
                <w:shd w:val="clear" w:color="auto" w:fill="FFFFFF"/>
              </w:rPr>
              <w:t>heruppií</w:t>
            </w:r>
            <w:proofErr w:type="spellEnd"/>
            <w:r w:rsidR="00DB2945">
              <w:rPr>
                <w:color w:val="000000"/>
                <w:shd w:val="clear" w:color="auto" w:fill="FFFFFF"/>
              </w:rPr>
              <w:t xml:space="preserve"> </w:t>
            </w:r>
            <w:r w:rsidRPr="00F26FE4">
              <w:rPr>
                <w:color w:val="000000"/>
                <w:shd w:val="clear" w:color="auto" w:fill="FFFFFF"/>
              </w:rPr>
              <w:t>rættindi hjá teimum veruligu eigarunum.</w:t>
            </w:r>
            <w:r>
              <w:t>”</w:t>
            </w:r>
          </w:p>
          <w:p w14:paraId="24D4E39B" w14:textId="77777777" w:rsidR="002C3B62" w:rsidRDefault="002C3B62" w:rsidP="002C3B62">
            <w:pPr>
              <w:pStyle w:val="Listeafsnit"/>
              <w:rPr>
                <w:i/>
                <w:iCs/>
                <w:color w:val="000000"/>
                <w:shd w:val="clear" w:color="auto" w:fill="FFFFFF"/>
              </w:rPr>
            </w:pPr>
          </w:p>
          <w:p w14:paraId="40A4AA60" w14:textId="13FDFACC" w:rsidR="002C3B62" w:rsidRPr="004A5E8D" w:rsidRDefault="002C3B62" w:rsidP="004A5E8D">
            <w:pPr>
              <w:rPr>
                <w:color w:val="000000"/>
                <w:shd w:val="clear" w:color="auto" w:fill="FFFFFF"/>
              </w:rPr>
            </w:pPr>
            <w:r w:rsidRPr="00F26FE4">
              <w:rPr>
                <w:i/>
                <w:iCs/>
                <w:color w:val="000000"/>
                <w:shd w:val="clear" w:color="auto" w:fill="FFFFFF"/>
              </w:rPr>
              <w:t>Stk. 4.</w:t>
            </w:r>
            <w:r w:rsidRPr="00F26FE4">
              <w:rPr>
                <w:color w:val="000000"/>
                <w:shd w:val="clear" w:color="auto" w:fill="FFFFFF"/>
              </w:rPr>
              <w:t xml:space="preserve"> Ein og hvør, sum beinleiðis ella óbeinleiðis eigur ella ræður yvir einum sínámillum tryggingarfelagi ella einum tvørgangandi eftirlønargrunni, skal eftir áheitan frá sínámillum tryggingarfelagnum ella tvørgangandi eftirlønargrunninum lata sínámillum tryggingarfelagnum ella tvørgangandi eftirlønargrunninum tær upplýsingar um eigaraviðurskiftini, ið eru neyðugar til tess, at sínámillum tryggingarfelagið ella tvørgangandi eftirlønargrunnurin kann eyðmerkja veruligu eigararnar, </w:t>
            </w:r>
            <w:proofErr w:type="spellStart"/>
            <w:r w:rsidR="00346B10">
              <w:t>heruppií</w:t>
            </w:r>
            <w:proofErr w:type="spellEnd"/>
            <w:r w:rsidR="00346B10" w:rsidRPr="00F26FE4">
              <w:rPr>
                <w:color w:val="000000"/>
                <w:shd w:val="clear" w:color="auto" w:fill="FFFFFF"/>
              </w:rPr>
              <w:t xml:space="preserve"> </w:t>
            </w:r>
            <w:r w:rsidRPr="00F26FE4">
              <w:rPr>
                <w:color w:val="000000"/>
                <w:shd w:val="clear" w:color="auto" w:fill="FFFFFF"/>
              </w:rPr>
              <w:t xml:space="preserve">upplýsingar um rættindini hjá teimum veruligu eigarunum. </w:t>
            </w:r>
          </w:p>
          <w:p w14:paraId="0828ECEC" w14:textId="4533C774" w:rsidR="002C3B62" w:rsidRPr="00F26FE4" w:rsidRDefault="002C3B62" w:rsidP="00F26FE4">
            <w:pPr>
              <w:rPr>
                <w:color w:val="000000"/>
                <w:shd w:val="clear" w:color="auto" w:fill="FFFFFF"/>
              </w:rPr>
            </w:pPr>
            <w:r w:rsidRPr="00F26FE4">
              <w:rPr>
                <w:i/>
                <w:iCs/>
              </w:rPr>
              <w:t xml:space="preserve">Stk. 5. </w:t>
            </w:r>
            <w:r w:rsidRPr="00F26FE4">
              <w:rPr>
                <w:color w:val="000000"/>
                <w:shd w:val="clear" w:color="auto" w:fill="FFFFFF"/>
              </w:rPr>
              <w:t xml:space="preserve">Sínámillum tryggingarfelagið og tvørgangandi eftirlønargrunnurin skulu skjótast gjørligt, eftir at sínámillum tryggingarfelagið og tvørgangandi eftirlønargrunnurin eru vorðin kunnug við, at ein persónur er blivin veruligur eigari, skráseta upplýsingarnar, </w:t>
            </w:r>
            <w:proofErr w:type="spellStart"/>
            <w:r w:rsidR="00346B10">
              <w:t>heruppií</w:t>
            </w:r>
            <w:proofErr w:type="spellEnd"/>
            <w:r w:rsidR="00346B10" w:rsidRPr="00F26FE4">
              <w:rPr>
                <w:color w:val="000000"/>
                <w:shd w:val="clear" w:color="auto" w:fill="FFFFFF"/>
              </w:rPr>
              <w:t xml:space="preserve"> </w:t>
            </w:r>
            <w:r w:rsidRPr="00F26FE4">
              <w:rPr>
                <w:color w:val="000000"/>
                <w:shd w:val="clear" w:color="auto" w:fill="FFFFFF"/>
              </w:rPr>
              <w:t xml:space="preserve">upplýsingar um rættindini hjá teimum veruligu eigarunum, í </w:t>
            </w:r>
            <w:proofErr w:type="spellStart"/>
            <w:r w:rsidRPr="00F26FE4">
              <w:rPr>
                <w:color w:val="000000"/>
                <w:shd w:val="clear" w:color="auto" w:fill="FFFFFF"/>
              </w:rPr>
              <w:t>kt-skipan</w:t>
            </w:r>
            <w:proofErr w:type="spellEnd"/>
            <w:r w:rsidRPr="00F26FE4">
              <w:rPr>
                <w:color w:val="000000"/>
                <w:shd w:val="clear" w:color="auto" w:fill="FFFFFF"/>
              </w:rPr>
              <w:t xml:space="preserve"> Skráseting Føroya. </w:t>
            </w:r>
            <w:r w:rsidRPr="00F26FE4">
              <w:rPr>
                <w:color w:val="000000" w:themeColor="text1"/>
                <w:shd w:val="clear" w:color="auto" w:fill="FFFFFF"/>
              </w:rPr>
              <w:t xml:space="preserve">Ein og hvør broyting av teimum </w:t>
            </w:r>
            <w:r w:rsidRPr="00F26FE4">
              <w:rPr>
                <w:color w:val="000000" w:themeColor="text1"/>
                <w:shd w:val="clear" w:color="auto" w:fill="FFFFFF"/>
              </w:rPr>
              <w:lastRenderedPageBreak/>
              <w:t xml:space="preserve">upplýsingum, sum eru skrásettar um veruligu eigararnar, skal skrásetast skjótast gjørligt eftir, at felagið ella eftirlønargrunnurin eru vorðin kunnug við broytingina. </w:t>
            </w:r>
            <w:r w:rsidRPr="00F26FE4">
              <w:rPr>
                <w:color w:val="000000"/>
                <w:shd w:val="clear" w:color="auto" w:fill="FFFFFF"/>
              </w:rPr>
              <w:t xml:space="preserve">Teir skrásettu limirnir í stjórnini hjá sínámillum tryggingarfelagnum ella tvørgangandi eftirlønargrunninum eru at meta og skráseta sum veruligir eigarar í </w:t>
            </w:r>
            <w:proofErr w:type="spellStart"/>
            <w:r w:rsidRPr="00F26FE4">
              <w:rPr>
                <w:color w:val="000000"/>
                <w:shd w:val="clear" w:color="auto" w:fill="FFFFFF"/>
              </w:rPr>
              <w:t>kt-skipan</w:t>
            </w:r>
            <w:proofErr w:type="spellEnd"/>
            <w:r w:rsidRPr="00F26FE4">
              <w:rPr>
                <w:color w:val="000000"/>
                <w:shd w:val="clear" w:color="auto" w:fill="FFFFFF"/>
              </w:rPr>
              <w:t xml:space="preserve"> Skráseting Føroya, um so er, at sínámillum tryggingarfelagið og tvørgangandi eftirlønargrunnurin, eftir at hava troytt allar møguleikar fyri eyðmerking, eftir hetta ongar veruligar eigarar hava, ella ongar veruligar eigarar kunnu eyðmerkja. </w:t>
            </w:r>
          </w:p>
          <w:p w14:paraId="2515D2D5" w14:textId="77777777" w:rsidR="002C3B62" w:rsidRDefault="002C3B62" w:rsidP="002C3B62">
            <w:pPr>
              <w:pStyle w:val="Listeafsnit"/>
              <w:rPr>
                <w:bCs/>
              </w:rPr>
            </w:pPr>
          </w:p>
          <w:p w14:paraId="5145F897" w14:textId="77777777" w:rsidR="002C3B62" w:rsidRDefault="002C3B62" w:rsidP="00F26FE4">
            <w:r w:rsidRPr="00F26FE4">
              <w:rPr>
                <w:i/>
                <w:iCs/>
              </w:rPr>
              <w:t>Stk. 6. S</w:t>
            </w:r>
            <w:r>
              <w:t xml:space="preserve">ínámillum tryggingarfelagið og tvørgangandi eftirlønargrunnurin </w:t>
            </w:r>
            <w:r w:rsidRPr="00E9401B">
              <w:t>sk</w:t>
            </w:r>
            <w:r>
              <w:t>ulu</w:t>
            </w:r>
            <w:r w:rsidRPr="00E9401B">
              <w:t xml:space="preserve"> í minsta lagi eina ferð um árið kanna, um broytingar </w:t>
            </w:r>
            <w:r w:rsidRPr="00A44261">
              <w:t>skulu gerast</w:t>
            </w:r>
            <w:r w:rsidRPr="00E9401B">
              <w:t xml:space="preserve"> </w:t>
            </w:r>
            <w:r>
              <w:t>í</w:t>
            </w:r>
            <w:r w:rsidRPr="00E9401B">
              <w:t xml:space="preserve"> skrásettu upplýsing</w:t>
            </w:r>
            <w:r>
              <w:t>unum</w:t>
            </w:r>
            <w:r w:rsidRPr="00E9401B">
              <w:t xml:space="preserve"> um veruligu eigararnar. Úrslitið av árligu kanningini skal leggjast fram á </w:t>
            </w:r>
            <w:r>
              <w:t>nevndar</w:t>
            </w:r>
            <w:r w:rsidRPr="00E9401B">
              <w:t xml:space="preserve">fundinum, har </w:t>
            </w:r>
            <w:r>
              <w:t>nevndin</w:t>
            </w:r>
            <w:r w:rsidRPr="00E9401B">
              <w:t xml:space="preserve"> góðkennir </w:t>
            </w:r>
            <w:proofErr w:type="spellStart"/>
            <w:r w:rsidRPr="00E9401B">
              <w:t>ársfrásøgnina</w:t>
            </w:r>
            <w:proofErr w:type="spellEnd"/>
            <w:r>
              <w:t>.</w:t>
            </w:r>
          </w:p>
          <w:p w14:paraId="045E9013" w14:textId="77777777" w:rsidR="002C3B62" w:rsidRDefault="002C3B62" w:rsidP="002C3B62">
            <w:pPr>
              <w:pStyle w:val="Listeafsnit"/>
              <w:rPr>
                <w:bCs/>
              </w:rPr>
            </w:pPr>
          </w:p>
          <w:p w14:paraId="3AC9ECDD" w14:textId="77777777" w:rsidR="002C3B62" w:rsidRPr="00F26FE4" w:rsidRDefault="002C3B62" w:rsidP="00F26FE4">
            <w:pPr>
              <w:rPr>
                <w:color w:val="000000" w:themeColor="text1"/>
                <w:shd w:val="clear" w:color="auto" w:fill="FFFFFF"/>
              </w:rPr>
            </w:pPr>
            <w:r w:rsidRPr="00F26FE4">
              <w:rPr>
                <w:i/>
                <w:iCs/>
                <w:color w:val="000000" w:themeColor="text1"/>
                <w:shd w:val="clear" w:color="auto" w:fill="FFFFFF"/>
              </w:rPr>
              <w:t xml:space="preserve">Stk. 7. </w:t>
            </w:r>
            <w:proofErr w:type="spellStart"/>
            <w:r w:rsidRPr="00F26FE4">
              <w:rPr>
                <w:color w:val="000000" w:themeColor="text1"/>
                <w:shd w:val="clear" w:color="auto" w:fill="FFFFFF"/>
              </w:rPr>
              <w:t>Sínáamillum</w:t>
            </w:r>
            <w:proofErr w:type="spellEnd"/>
            <w:r w:rsidRPr="00F26FE4">
              <w:rPr>
                <w:color w:val="000000" w:themeColor="text1"/>
                <w:shd w:val="clear" w:color="auto" w:fill="FFFFFF"/>
              </w:rPr>
              <w:t xml:space="preserve"> tryggingarfelagið og tvørgangandi eftirlønargrunnurin skulu goyma skjalprógv fyri teimum savnaðu upplýsingunum um tess veruligu eigarar í fimm ár eftir, at veruligu eigaraviðurskiftini hildu uppat. Sínámillum tryggingarfelagið og tvørgangandi eftirlønargrunnurin skulu harumframt goyma skjalprógv fyri teimum savnaðu upplýsingunum um royndir at eyðmerkja veruligar eigarar í fimm ár eftir, at royndirnar at eyðmerkja vórðu framdar.</w:t>
            </w:r>
          </w:p>
          <w:p w14:paraId="6F90AA75" w14:textId="77777777" w:rsidR="002C3B62" w:rsidRDefault="002C3B62" w:rsidP="002C3B62">
            <w:pPr>
              <w:pStyle w:val="Listeafsnit"/>
              <w:rPr>
                <w:bCs/>
              </w:rPr>
            </w:pPr>
          </w:p>
          <w:p w14:paraId="1BE831FB" w14:textId="37FABC7B" w:rsidR="002C3B62" w:rsidRPr="00F26FE4" w:rsidRDefault="002C3B62" w:rsidP="00F26FE4">
            <w:pPr>
              <w:rPr>
                <w:color w:val="000000"/>
                <w:shd w:val="clear" w:color="auto" w:fill="FFFFFF"/>
              </w:rPr>
            </w:pPr>
            <w:r w:rsidRPr="00F26FE4">
              <w:rPr>
                <w:i/>
                <w:iCs/>
                <w:color w:val="000000"/>
                <w:shd w:val="clear" w:color="auto" w:fill="FFFFFF"/>
              </w:rPr>
              <w:t xml:space="preserve">Stk. 8. </w:t>
            </w:r>
            <w:r w:rsidRPr="00F26FE4">
              <w:rPr>
                <w:color w:val="000000" w:themeColor="text1"/>
                <w:shd w:val="clear" w:color="auto" w:fill="FFFFFF"/>
              </w:rPr>
              <w:t xml:space="preserve">Sínámillum tryggingarfelagið og tvørgangandi eftirlønargrunnurin skulu </w:t>
            </w:r>
            <w:r w:rsidRPr="00F26FE4">
              <w:rPr>
                <w:color w:val="000000"/>
                <w:shd w:val="clear" w:color="auto" w:fill="FFFFFF"/>
              </w:rPr>
              <w:t xml:space="preserve">eftir áheitan lata upplýsingar til Føroya Landfúta um veruligu eigarar sínámillum </w:t>
            </w:r>
            <w:proofErr w:type="spellStart"/>
            <w:r w:rsidRPr="00F26FE4">
              <w:rPr>
                <w:color w:val="000000"/>
                <w:shd w:val="clear" w:color="auto" w:fill="FFFFFF"/>
              </w:rPr>
              <w:t>tryggingarfelagsins</w:t>
            </w:r>
            <w:proofErr w:type="spellEnd"/>
            <w:r w:rsidRPr="00F26FE4">
              <w:rPr>
                <w:color w:val="000000"/>
                <w:shd w:val="clear" w:color="auto" w:fill="FFFFFF"/>
              </w:rPr>
              <w:t xml:space="preserve"> og tvørgangandi </w:t>
            </w:r>
            <w:proofErr w:type="spellStart"/>
            <w:r w:rsidRPr="00F26FE4">
              <w:rPr>
                <w:color w:val="000000"/>
                <w:shd w:val="clear" w:color="auto" w:fill="FFFFFF"/>
              </w:rPr>
              <w:t>eftirlønargrunsins</w:t>
            </w:r>
            <w:proofErr w:type="spellEnd"/>
            <w:r w:rsidRPr="00F26FE4">
              <w:rPr>
                <w:color w:val="000000"/>
                <w:shd w:val="clear" w:color="auto" w:fill="FFFFFF"/>
              </w:rPr>
              <w:t xml:space="preserve">, </w:t>
            </w:r>
            <w:proofErr w:type="spellStart"/>
            <w:r w:rsidR="00E62C92">
              <w:rPr>
                <w:color w:val="000000"/>
                <w:shd w:val="clear" w:color="auto" w:fill="FFFFFF"/>
              </w:rPr>
              <w:t>heruppií</w:t>
            </w:r>
            <w:proofErr w:type="spellEnd"/>
            <w:r w:rsidR="00E62C92">
              <w:rPr>
                <w:color w:val="000000"/>
                <w:shd w:val="clear" w:color="auto" w:fill="FFFFFF"/>
              </w:rPr>
              <w:t xml:space="preserve"> </w:t>
            </w:r>
            <w:r w:rsidRPr="00F26FE4">
              <w:rPr>
                <w:color w:val="000000"/>
                <w:shd w:val="clear" w:color="auto" w:fill="FFFFFF"/>
              </w:rPr>
              <w:t xml:space="preserve">um royndir hjá sínámillum tryggingarfelagnum og tvørgangandi eftirlønargrunninum at eyðmerkja tess veruligu eigarar. </w:t>
            </w:r>
            <w:r w:rsidRPr="00F26FE4">
              <w:rPr>
                <w:color w:val="000000" w:themeColor="text1"/>
                <w:shd w:val="clear" w:color="auto" w:fill="FFFFFF"/>
              </w:rPr>
              <w:t>Sínámillum tryggingarfelagið og tvørgangandi eftirlønargrunnurin skulu</w:t>
            </w:r>
            <w:r w:rsidRPr="00F26FE4">
              <w:rPr>
                <w:color w:val="000000"/>
                <w:shd w:val="clear" w:color="auto" w:fill="FFFFFF"/>
              </w:rPr>
              <w:t xml:space="preserve"> harumframt eftir áheitan lata nevndu upplýsingar til aðrar </w:t>
            </w:r>
            <w:proofErr w:type="spellStart"/>
            <w:r w:rsidRPr="00F26FE4">
              <w:rPr>
                <w:color w:val="000000"/>
                <w:shd w:val="clear" w:color="auto" w:fill="FFFFFF"/>
              </w:rPr>
              <w:t>málførar</w:t>
            </w:r>
            <w:proofErr w:type="spellEnd"/>
            <w:r w:rsidRPr="00F26FE4">
              <w:rPr>
                <w:color w:val="000000"/>
                <w:shd w:val="clear" w:color="auto" w:fill="FFFFFF"/>
              </w:rPr>
              <w:t xml:space="preserve"> myndugleikar, tá ið hesir </w:t>
            </w:r>
            <w:r w:rsidRPr="00F26FE4">
              <w:rPr>
                <w:color w:val="000000"/>
                <w:shd w:val="clear" w:color="auto" w:fill="FFFFFF"/>
              </w:rPr>
              <w:lastRenderedPageBreak/>
              <w:t xml:space="preserve">myndugleikar meta, at upplýsingarnar eru neyðugar fyri røkt av eftirlits- ella </w:t>
            </w:r>
            <w:proofErr w:type="spellStart"/>
            <w:r w:rsidRPr="00F26FE4">
              <w:rPr>
                <w:color w:val="000000"/>
                <w:shd w:val="clear" w:color="auto" w:fill="FFFFFF"/>
              </w:rPr>
              <w:t>umsjónaruppgávum</w:t>
            </w:r>
            <w:proofErr w:type="spellEnd"/>
            <w:r w:rsidRPr="00F26FE4">
              <w:rPr>
                <w:color w:val="000000"/>
                <w:shd w:val="clear" w:color="auto" w:fill="FFFFFF"/>
              </w:rPr>
              <w:t xml:space="preserve"> teirra.</w:t>
            </w:r>
          </w:p>
          <w:p w14:paraId="35D23E2E" w14:textId="77777777" w:rsidR="002C3B62" w:rsidRDefault="002C3B62" w:rsidP="002C3B62">
            <w:pPr>
              <w:pStyle w:val="Listeafsnit"/>
              <w:rPr>
                <w:bCs/>
              </w:rPr>
            </w:pPr>
          </w:p>
          <w:p w14:paraId="5DA835F0" w14:textId="477E0107" w:rsidR="002C3B62" w:rsidRDefault="002C3B62" w:rsidP="00F26FE4">
            <w:r w:rsidRPr="00F26FE4">
              <w:rPr>
                <w:i/>
                <w:iCs/>
              </w:rPr>
              <w:t xml:space="preserve">Stk. 9. </w:t>
            </w:r>
            <w:r>
              <w:t xml:space="preserve">Føroya Landfúti og aðrir málførir myndugleikar kunnu </w:t>
            </w:r>
            <w:r w:rsidRPr="00DD0EA7">
              <w:t xml:space="preserve">uttan viðurgjald lata upplýsingar víðari um veruligar eigarar, sum eru skrásettar sambært stk. 5, ella sum eru savnaðar sambært stk. 8, til </w:t>
            </w:r>
            <w:proofErr w:type="spellStart"/>
            <w:r w:rsidRPr="00DD0EA7">
              <w:t>málførar</w:t>
            </w:r>
            <w:proofErr w:type="spellEnd"/>
            <w:r w:rsidRPr="00DD0EA7">
              <w:t xml:space="preserve"> myndugleikar og </w:t>
            </w:r>
            <w:proofErr w:type="spellStart"/>
            <w:r w:rsidRPr="00DD0EA7">
              <w:t>eftirlitsmyndugleikar</w:t>
            </w:r>
            <w:proofErr w:type="spellEnd"/>
            <w:r w:rsidRPr="00DD0EA7">
              <w:t xml:space="preserve"> á fíggjarøkinum í </w:t>
            </w:r>
            <w:proofErr w:type="spellStart"/>
            <w:r w:rsidRPr="00DD0EA7">
              <w:t>ES-limalondum</w:t>
            </w:r>
            <w:proofErr w:type="spellEnd"/>
            <w:r w:rsidRPr="00DD0EA7">
              <w:t>.</w:t>
            </w:r>
          </w:p>
          <w:p w14:paraId="192A201E" w14:textId="77777777" w:rsidR="002C3B62" w:rsidRDefault="002C3B62" w:rsidP="002C3B62">
            <w:pPr>
              <w:pStyle w:val="Listeafsnit"/>
              <w:rPr>
                <w:i/>
                <w:iCs/>
                <w:color w:val="000000"/>
                <w:shd w:val="clear" w:color="auto" w:fill="FFFFFF"/>
              </w:rPr>
            </w:pPr>
          </w:p>
          <w:p w14:paraId="001ECFE8" w14:textId="2B376721" w:rsidR="002C3B62" w:rsidRPr="00F26FE4" w:rsidRDefault="002C3B62" w:rsidP="00F26FE4">
            <w:pPr>
              <w:rPr>
                <w:color w:val="000000"/>
                <w:shd w:val="clear" w:color="auto" w:fill="FFFFFF"/>
              </w:rPr>
            </w:pPr>
            <w:r w:rsidRPr="00F26FE4">
              <w:rPr>
                <w:i/>
                <w:iCs/>
                <w:color w:val="000000"/>
                <w:shd w:val="clear" w:color="auto" w:fill="FFFFFF"/>
              </w:rPr>
              <w:t>Stk. 10.</w:t>
            </w:r>
            <w:r w:rsidRPr="00F26FE4">
              <w:rPr>
                <w:color w:val="000000"/>
                <w:shd w:val="clear" w:color="auto" w:fill="FFFFFF"/>
              </w:rPr>
              <w:t xml:space="preserve"> Landsstýrismaðurin ásetur nærri reglur um skráseting, </w:t>
            </w:r>
            <w:proofErr w:type="spellStart"/>
            <w:r w:rsidRPr="00F26FE4">
              <w:rPr>
                <w:color w:val="000000"/>
                <w:shd w:val="clear" w:color="auto" w:fill="FFFFFF"/>
              </w:rPr>
              <w:t>atkomu</w:t>
            </w:r>
            <w:proofErr w:type="spellEnd"/>
            <w:r w:rsidRPr="00F26FE4">
              <w:rPr>
                <w:color w:val="000000"/>
                <w:shd w:val="clear" w:color="auto" w:fill="FFFFFF"/>
              </w:rPr>
              <w:t xml:space="preserve"> til og kunngering av upplýsingum eftir stk. 3, 5 og 7 í </w:t>
            </w:r>
            <w:proofErr w:type="spellStart"/>
            <w:r w:rsidRPr="00F26FE4">
              <w:rPr>
                <w:color w:val="000000"/>
                <w:shd w:val="clear" w:color="auto" w:fill="FFFFFF"/>
              </w:rPr>
              <w:t>kt-skipan</w:t>
            </w:r>
            <w:proofErr w:type="spellEnd"/>
            <w:r w:rsidRPr="00F26FE4">
              <w:rPr>
                <w:color w:val="000000"/>
                <w:shd w:val="clear" w:color="auto" w:fill="FFFFFF"/>
              </w:rPr>
              <w:t xml:space="preserve"> Skráseting Føroya, </w:t>
            </w:r>
            <w:proofErr w:type="spellStart"/>
            <w:r w:rsidR="00346B10">
              <w:rPr>
                <w:color w:val="000000"/>
                <w:shd w:val="clear" w:color="auto" w:fill="FFFFFF"/>
              </w:rPr>
              <w:t>heruppií</w:t>
            </w:r>
            <w:proofErr w:type="spellEnd"/>
            <w:r w:rsidRPr="00F26FE4">
              <w:rPr>
                <w:color w:val="000000"/>
                <w:shd w:val="clear" w:color="auto" w:fill="FFFFFF"/>
              </w:rPr>
              <w:t xml:space="preserve"> hvørjar upplýsingar sínámillum tryggingarfelagið og tvørgangandi eftirlønargrunnurin skulu skráseta í </w:t>
            </w:r>
            <w:proofErr w:type="spellStart"/>
            <w:r w:rsidRPr="00F26FE4">
              <w:rPr>
                <w:color w:val="000000"/>
                <w:shd w:val="clear" w:color="auto" w:fill="FFFFFF"/>
              </w:rPr>
              <w:t>kt-skipan</w:t>
            </w:r>
            <w:proofErr w:type="spellEnd"/>
            <w:r w:rsidRPr="00F26FE4">
              <w:rPr>
                <w:color w:val="000000"/>
                <w:shd w:val="clear" w:color="auto" w:fill="FFFFFF"/>
              </w:rPr>
              <w:t xml:space="preserve"> Skráseting Føroya.”</w:t>
            </w:r>
          </w:p>
          <w:p w14:paraId="06C55AF7" w14:textId="77777777" w:rsidR="00334F92" w:rsidRDefault="00334F92" w:rsidP="00FF07E2"/>
        </w:tc>
      </w:tr>
      <w:tr w:rsidR="00334F92" w14:paraId="601F78F8" w14:textId="77777777" w:rsidTr="009B5EDE">
        <w:tc>
          <w:tcPr>
            <w:tcW w:w="4508" w:type="dxa"/>
          </w:tcPr>
          <w:p w14:paraId="09E18ED7" w14:textId="20D07517" w:rsidR="00334F92" w:rsidRDefault="00F26FE4" w:rsidP="00FF07E2">
            <w:r>
              <w:lastRenderedPageBreak/>
              <w:t xml:space="preserve">Ásetingin er nýggj. </w:t>
            </w:r>
          </w:p>
        </w:tc>
        <w:tc>
          <w:tcPr>
            <w:tcW w:w="4508" w:type="dxa"/>
          </w:tcPr>
          <w:p w14:paraId="7955CD39" w14:textId="717CE339" w:rsidR="003C7E73" w:rsidRPr="00421B22" w:rsidRDefault="003C7E73" w:rsidP="00421B22">
            <w:pPr>
              <w:pStyle w:val="Listeafsnit"/>
              <w:numPr>
                <w:ilvl w:val="0"/>
                <w:numId w:val="14"/>
              </w:numPr>
              <w:rPr>
                <w:bCs/>
              </w:rPr>
            </w:pPr>
            <w:r w:rsidRPr="00421B22">
              <w:rPr>
                <w:bCs/>
              </w:rPr>
              <w:t xml:space="preserve">Aftaná § 17 verður sett í kapittul 3: </w:t>
            </w:r>
          </w:p>
          <w:p w14:paraId="6BAEEA82" w14:textId="77777777" w:rsidR="003C7E73" w:rsidRDefault="003C7E73" w:rsidP="003C7E73">
            <w:pPr>
              <w:pStyle w:val="Listeafsnit"/>
              <w:rPr>
                <w:b/>
                <w:bCs/>
              </w:rPr>
            </w:pPr>
          </w:p>
          <w:p w14:paraId="30675F29" w14:textId="77777777" w:rsidR="003C7E73" w:rsidRDefault="003C7E73" w:rsidP="008A6988">
            <w:r w:rsidRPr="004F5F96">
              <w:t>§ 17 a.</w:t>
            </w:r>
            <w:r w:rsidRPr="008A6988">
              <w:rPr>
                <w:i/>
                <w:iCs/>
              </w:rPr>
              <w:t xml:space="preserve"> </w:t>
            </w:r>
            <w:r w:rsidRPr="003C502F">
              <w:t>Eitt</w:t>
            </w:r>
            <w:r w:rsidRPr="008A6988">
              <w:rPr>
                <w:i/>
                <w:iCs/>
              </w:rPr>
              <w:t xml:space="preserve"> </w:t>
            </w:r>
            <w:r>
              <w:t>s</w:t>
            </w:r>
            <w:r w:rsidRPr="008A6988">
              <w:rPr>
                <w:color w:val="000000" w:themeColor="text1"/>
                <w:shd w:val="clear" w:color="auto" w:fill="FFFFFF"/>
              </w:rPr>
              <w:t xml:space="preserve">ínámillum tryggingarfelag og ein tvørgangandi eftirlønargrunnur, </w:t>
            </w:r>
            <w:r>
              <w:t xml:space="preserve">sum skal savna, varðveita og skráseta upplýsingar um veruligar eigarar, sbrt. § 17, skal eftir áheitan útvega persónum og fyritøkum, sum sambært </w:t>
            </w:r>
            <w:proofErr w:type="spellStart"/>
            <w:r>
              <w:t>hvítvasklógini</w:t>
            </w:r>
            <w:proofErr w:type="spellEnd"/>
            <w:r>
              <w:t xml:space="preserve"> hava skyldu til at gera </w:t>
            </w:r>
            <w:proofErr w:type="spellStart"/>
            <w:r>
              <w:t>kundakunnleikamannagongdir</w:t>
            </w:r>
            <w:proofErr w:type="spellEnd"/>
            <w:r>
              <w:t xml:space="preserve">, upplýsingar um eigaraviðurskifti sínámillum </w:t>
            </w:r>
            <w:proofErr w:type="spellStart"/>
            <w:r>
              <w:t>tryggingarfelagsins</w:t>
            </w:r>
            <w:proofErr w:type="spellEnd"/>
            <w:r>
              <w:t xml:space="preserve"> ella tvørgangandi </w:t>
            </w:r>
            <w:proofErr w:type="spellStart"/>
            <w:r>
              <w:t>eftirlønargrunsins</w:t>
            </w:r>
            <w:proofErr w:type="spellEnd"/>
            <w:r>
              <w:t>.</w:t>
            </w:r>
          </w:p>
          <w:p w14:paraId="08BA6AF6" w14:textId="77777777" w:rsidR="003C7E73" w:rsidRDefault="003C7E73" w:rsidP="003C7E73">
            <w:pPr>
              <w:pStyle w:val="Listeafsnit"/>
            </w:pPr>
          </w:p>
          <w:p w14:paraId="72A60248" w14:textId="77777777" w:rsidR="003C7E73" w:rsidRDefault="003C7E73" w:rsidP="008A6988">
            <w:r w:rsidRPr="008A6988">
              <w:rPr>
                <w:i/>
                <w:iCs/>
              </w:rPr>
              <w:t xml:space="preserve">Stk. 2. </w:t>
            </w:r>
            <w:r>
              <w:t xml:space="preserve">Fær </w:t>
            </w:r>
            <w:proofErr w:type="spellStart"/>
            <w:r>
              <w:t>Tryggingareftirlitið</w:t>
            </w:r>
            <w:proofErr w:type="spellEnd"/>
            <w:r>
              <w:t xml:space="preserve"> fráboðan sambært </w:t>
            </w:r>
            <w:proofErr w:type="spellStart"/>
            <w:r>
              <w:t>hvítvasklógini</w:t>
            </w:r>
            <w:proofErr w:type="spellEnd"/>
            <w:r>
              <w:t xml:space="preserve"> um ósamsvar í skrásettu upplýsingunum um veruligu eigararnar av einum s</w:t>
            </w:r>
            <w:r w:rsidRPr="008A6988">
              <w:rPr>
                <w:color w:val="000000" w:themeColor="text1"/>
                <w:shd w:val="clear" w:color="auto" w:fill="FFFFFF"/>
              </w:rPr>
              <w:t>ínámillum tryggingarfelagi og einum tvørgangandi eftirlønargrunni</w:t>
            </w:r>
            <w:r>
              <w:t xml:space="preserve">, setur </w:t>
            </w:r>
            <w:proofErr w:type="spellStart"/>
            <w:r>
              <w:t>Tryggingareftirlitið</w:t>
            </w:r>
            <w:proofErr w:type="spellEnd"/>
            <w:r>
              <w:t xml:space="preserve"> eina kanning í verk av hesum viðurskiftum. </w:t>
            </w:r>
            <w:proofErr w:type="spellStart"/>
            <w:r>
              <w:t>Tryggingareftirlitið</w:t>
            </w:r>
            <w:proofErr w:type="spellEnd"/>
            <w:r>
              <w:t xml:space="preserve"> kann mótvegis s</w:t>
            </w:r>
            <w:r w:rsidRPr="008A6988">
              <w:rPr>
                <w:color w:val="000000" w:themeColor="text1"/>
                <w:shd w:val="clear" w:color="auto" w:fill="FFFFFF"/>
              </w:rPr>
              <w:t>ínámillum tryggingarfelagnum ella tvørgangandi eftirlønargrunninum</w:t>
            </w:r>
            <w:r>
              <w:t xml:space="preserve"> áseta eina freist fyri rætting av upplýsingunum.  </w:t>
            </w:r>
          </w:p>
          <w:p w14:paraId="65B276B8" w14:textId="77777777" w:rsidR="003C7E73" w:rsidRDefault="003C7E73" w:rsidP="003C7E73">
            <w:pPr>
              <w:pStyle w:val="Listeafsnit"/>
              <w:rPr>
                <w:i/>
                <w:iCs/>
              </w:rPr>
            </w:pPr>
          </w:p>
          <w:p w14:paraId="0A8166B6" w14:textId="77777777" w:rsidR="003C7E73" w:rsidRPr="008A6988" w:rsidRDefault="003C7E73" w:rsidP="008A6988">
            <w:pPr>
              <w:rPr>
                <w:color w:val="000000"/>
                <w:shd w:val="clear" w:color="auto" w:fill="FFFFFF"/>
              </w:rPr>
            </w:pPr>
            <w:r w:rsidRPr="008A6988">
              <w:rPr>
                <w:i/>
                <w:iCs/>
              </w:rPr>
              <w:t xml:space="preserve">Stk. 3. </w:t>
            </w:r>
            <w:r>
              <w:t xml:space="preserve">Eftir áheitan frá </w:t>
            </w:r>
            <w:proofErr w:type="spellStart"/>
            <w:r>
              <w:t>Tryggingareftirlitinum</w:t>
            </w:r>
            <w:proofErr w:type="spellEnd"/>
            <w:r>
              <w:t xml:space="preserve"> kann Skráseting Føroya, samstundis sum kanningin </w:t>
            </w:r>
            <w:r w:rsidRPr="00DD0EA7">
              <w:t xml:space="preserve">sambært </w:t>
            </w:r>
            <w:r w:rsidRPr="00DD0EA7">
              <w:lastRenderedPageBreak/>
              <w:t xml:space="preserve">stk. 2 verður gjørd, almannakunngera eina frágreiðing um fráboðanina í </w:t>
            </w:r>
            <w:proofErr w:type="spellStart"/>
            <w:r w:rsidRPr="008A6988">
              <w:rPr>
                <w:color w:val="000000"/>
                <w:shd w:val="clear" w:color="auto" w:fill="FFFFFF"/>
              </w:rPr>
              <w:t>kt-skipan</w:t>
            </w:r>
            <w:proofErr w:type="spellEnd"/>
            <w:r w:rsidRPr="008A6988">
              <w:rPr>
                <w:color w:val="000000"/>
                <w:shd w:val="clear" w:color="auto" w:fill="FFFFFF"/>
              </w:rPr>
              <w:t xml:space="preserve"> Skráseting Føroya. Sínámillum tryggingarfelagið ella tvørgangandi eftirlønargrunnurin skulu hava møguleika til at mótmæla fráboðanini, áðrenn hon verður almannakunngjørd, uttan so at endamálið við almannakunngerð av frágreiðingini um fráboðanina fer fyri skeytið.”</w:t>
            </w:r>
          </w:p>
          <w:p w14:paraId="2D318747" w14:textId="77777777" w:rsidR="00334F92" w:rsidRDefault="00334F92" w:rsidP="00FF07E2"/>
        </w:tc>
      </w:tr>
      <w:tr w:rsidR="00334F92" w14:paraId="5DC1FC62" w14:textId="77777777" w:rsidTr="009B5EDE">
        <w:tc>
          <w:tcPr>
            <w:tcW w:w="4508" w:type="dxa"/>
          </w:tcPr>
          <w:p w14:paraId="3270BB8E" w14:textId="63B74EEB" w:rsidR="00334F92" w:rsidRDefault="00F26FE4" w:rsidP="00FF07E2">
            <w:r>
              <w:rPr>
                <w:i/>
                <w:iCs/>
              </w:rPr>
              <w:lastRenderedPageBreak/>
              <w:t>Stk. 2.</w:t>
            </w:r>
            <w:r>
              <w:t xml:space="preserve"> Brot á § 17, stk. 4 og 5, § 41, stk. 1, § 42, stk. 1, § 55, stk. 1-5, § 56, stk. 1, § 57, stk. 1, 1. pkt. og stk. 2, § 61, stk. 1-6 og 10, § 61 a, stk. 1-7 og 9, §§ 61 b og 61 c, stk. 1-3, § 64, stk. 1, stk. 2, 1. pkt. og stk. 3, 7 og 8, § 65, stk. 1-6, § 78, stk. 1, §§ 79 og 80, §§ 94, 95 og 103, § 111, stk. 1, 1. pkt. og stk. 4, § 112, stk. 1, § 113, stk. 1 og 2 og stk. 3, 1. pkt., §§ 114 og 115, § 116, stk. 1, stk. 2, 1. pkt. og stk. 3, 2. pkt., §§ 117 og 118, § 119, stk. 1-3, § 120, 1. pkt., § 121, 1. pkt., § 126, stk. 1, § 127, stk. 2 og 5, § 193 b, stk. 3, umframt brot á art. 4 í Fyriskipan Ráðsins um nýtslu av altjóða </w:t>
            </w:r>
            <w:proofErr w:type="spellStart"/>
            <w:r>
              <w:t>roknskaparstandardum</w:t>
            </w:r>
            <w:proofErr w:type="spellEnd"/>
            <w:r>
              <w:t>, verða revsað við bót.</w:t>
            </w:r>
          </w:p>
        </w:tc>
        <w:tc>
          <w:tcPr>
            <w:tcW w:w="4508" w:type="dxa"/>
          </w:tcPr>
          <w:p w14:paraId="5FF231BE" w14:textId="77777777" w:rsidR="00D361F6" w:rsidRPr="004F5F96" w:rsidRDefault="00D361F6" w:rsidP="00421B22">
            <w:pPr>
              <w:pStyle w:val="Listeafsnit"/>
              <w:numPr>
                <w:ilvl w:val="0"/>
                <w:numId w:val="14"/>
              </w:numPr>
              <w:rPr>
                <w:bCs/>
              </w:rPr>
            </w:pPr>
            <w:r>
              <w:t>Í § 215, stk. 2 verður “§ 17, stk. 4 og 5” broytt til “§ 17, stk. 5, 7 og 8”.</w:t>
            </w:r>
          </w:p>
          <w:p w14:paraId="29D7FAEC" w14:textId="77777777" w:rsidR="00334F92" w:rsidRDefault="00334F92" w:rsidP="00FF07E2"/>
        </w:tc>
      </w:tr>
      <w:tr w:rsidR="00334F92" w14:paraId="46241FDC" w14:textId="77777777" w:rsidTr="009B5EDE">
        <w:tc>
          <w:tcPr>
            <w:tcW w:w="4508" w:type="dxa"/>
          </w:tcPr>
          <w:p w14:paraId="75FC34D5" w14:textId="126B6A2C" w:rsidR="00334F92" w:rsidRDefault="00334F92" w:rsidP="00FF07E2"/>
        </w:tc>
        <w:tc>
          <w:tcPr>
            <w:tcW w:w="4508" w:type="dxa"/>
          </w:tcPr>
          <w:p w14:paraId="0F5E1168" w14:textId="77777777" w:rsidR="00AE3B0F" w:rsidRDefault="00AE3B0F" w:rsidP="00AE3B0F">
            <w:pPr>
              <w:jc w:val="center"/>
              <w:rPr>
                <w:b/>
                <w:bCs/>
              </w:rPr>
            </w:pPr>
            <w:r w:rsidRPr="00BD5960">
              <w:rPr>
                <w:b/>
                <w:bCs/>
              </w:rPr>
              <w:t>§ 5</w:t>
            </w:r>
          </w:p>
          <w:p w14:paraId="26CE8672" w14:textId="77777777" w:rsidR="00AE3B0F" w:rsidRDefault="00AE3B0F" w:rsidP="00AE3B0F">
            <w:r>
              <w:t>Henda løgtingslóg kemur í gildi dagin eftir, at hon er kunngjørd.</w:t>
            </w:r>
          </w:p>
          <w:p w14:paraId="5C0877B6" w14:textId="77777777" w:rsidR="00AE3B0F" w:rsidRDefault="00AE3B0F" w:rsidP="00AE3B0F">
            <w:pPr>
              <w:jc w:val="both"/>
            </w:pPr>
          </w:p>
          <w:p w14:paraId="4BE57914" w14:textId="77777777" w:rsidR="00AE3B0F" w:rsidRPr="00BD5960" w:rsidRDefault="00AE3B0F" w:rsidP="00AE3B0F">
            <w:r>
              <w:rPr>
                <w:i/>
                <w:iCs/>
              </w:rPr>
              <w:t xml:space="preserve">Stk. 2. </w:t>
            </w:r>
            <w:r>
              <w:t xml:space="preserve">Reglur, sum eru ásettar við heimild í § 58 a, stk. 5 </w:t>
            </w:r>
            <w:r w:rsidRPr="00751B20">
              <w:rPr>
                <w:bCs/>
              </w:rPr>
              <w:t xml:space="preserve">í løgtingslóg nr. 73 frá 31. mai 2011 um parta- og smápartafeløg, við heimild í § 15 g, stk. 5 í </w:t>
            </w:r>
            <w:proofErr w:type="spellStart"/>
            <w:r w:rsidRPr="00751B20">
              <w:rPr>
                <w:bCs/>
              </w:rPr>
              <w:t>anordning</w:t>
            </w:r>
            <w:proofErr w:type="spellEnd"/>
            <w:r w:rsidRPr="00751B20">
              <w:rPr>
                <w:bCs/>
              </w:rPr>
              <w:t xml:space="preserve"> nr. 1114 </w:t>
            </w:r>
            <w:proofErr w:type="spellStart"/>
            <w:r w:rsidRPr="00751B20">
              <w:rPr>
                <w:bCs/>
              </w:rPr>
              <w:t>af</w:t>
            </w:r>
            <w:proofErr w:type="spellEnd"/>
            <w:r w:rsidRPr="00751B20">
              <w:rPr>
                <w:bCs/>
              </w:rPr>
              <w:t xml:space="preserve"> 20. september 2007 </w:t>
            </w:r>
            <w:proofErr w:type="spellStart"/>
            <w:r w:rsidRPr="00751B20">
              <w:rPr>
                <w:bCs/>
              </w:rPr>
              <w:t>om</w:t>
            </w:r>
            <w:proofErr w:type="spellEnd"/>
            <w:r w:rsidRPr="00751B20">
              <w:rPr>
                <w:bCs/>
              </w:rPr>
              <w:t xml:space="preserve"> </w:t>
            </w:r>
            <w:proofErr w:type="spellStart"/>
            <w:r w:rsidRPr="00751B20">
              <w:rPr>
                <w:bCs/>
              </w:rPr>
              <w:t>ikrafttræden</w:t>
            </w:r>
            <w:proofErr w:type="spellEnd"/>
            <w:r w:rsidRPr="00751B20">
              <w:rPr>
                <w:bCs/>
              </w:rPr>
              <w:t xml:space="preserve"> for </w:t>
            </w:r>
            <w:proofErr w:type="spellStart"/>
            <w:r w:rsidRPr="00751B20">
              <w:rPr>
                <w:bCs/>
              </w:rPr>
              <w:t>Færøerne</w:t>
            </w:r>
            <w:proofErr w:type="spellEnd"/>
            <w:r w:rsidRPr="00751B20">
              <w:rPr>
                <w:bCs/>
              </w:rPr>
              <w:t xml:space="preserve"> </w:t>
            </w:r>
            <w:proofErr w:type="spellStart"/>
            <w:r w:rsidRPr="00751B20">
              <w:rPr>
                <w:bCs/>
              </w:rPr>
              <w:t>af</w:t>
            </w:r>
            <w:proofErr w:type="spellEnd"/>
            <w:r w:rsidRPr="00751B20">
              <w:rPr>
                <w:bCs/>
              </w:rPr>
              <w:t xml:space="preserve"> lov </w:t>
            </w:r>
            <w:proofErr w:type="spellStart"/>
            <w:r w:rsidRPr="00751B20">
              <w:rPr>
                <w:bCs/>
              </w:rPr>
              <w:t>om</w:t>
            </w:r>
            <w:proofErr w:type="spellEnd"/>
            <w:r w:rsidRPr="00751B20">
              <w:rPr>
                <w:bCs/>
              </w:rPr>
              <w:t xml:space="preserve"> </w:t>
            </w:r>
            <w:proofErr w:type="spellStart"/>
            <w:r w:rsidRPr="00751B20">
              <w:rPr>
                <w:bCs/>
              </w:rPr>
              <w:t>visse</w:t>
            </w:r>
            <w:proofErr w:type="spellEnd"/>
            <w:r w:rsidRPr="00751B20">
              <w:rPr>
                <w:bCs/>
              </w:rPr>
              <w:t xml:space="preserve"> </w:t>
            </w:r>
            <w:proofErr w:type="spellStart"/>
            <w:r w:rsidRPr="00751B20">
              <w:rPr>
                <w:bCs/>
              </w:rPr>
              <w:t>erhvervsdrivende</w:t>
            </w:r>
            <w:proofErr w:type="spellEnd"/>
            <w:r w:rsidRPr="00751B20">
              <w:rPr>
                <w:bCs/>
              </w:rPr>
              <w:t xml:space="preserve"> </w:t>
            </w:r>
            <w:proofErr w:type="spellStart"/>
            <w:r w:rsidRPr="00751B20">
              <w:rPr>
                <w:bCs/>
              </w:rPr>
              <w:t>virksomheder</w:t>
            </w:r>
            <w:proofErr w:type="spellEnd"/>
            <w:r w:rsidRPr="00751B20">
              <w:rPr>
                <w:bCs/>
              </w:rPr>
              <w:t xml:space="preserve">, við heimild í § 56 b, stk. 4 í </w:t>
            </w:r>
            <w:proofErr w:type="spellStart"/>
            <w:r w:rsidRPr="00751B20">
              <w:rPr>
                <w:bCs/>
              </w:rPr>
              <w:t>anordning</w:t>
            </w:r>
            <w:proofErr w:type="spellEnd"/>
            <w:r w:rsidRPr="00751B20">
              <w:rPr>
                <w:bCs/>
              </w:rPr>
              <w:t xml:space="preserve"> nr. 1113 </w:t>
            </w:r>
            <w:proofErr w:type="spellStart"/>
            <w:r w:rsidRPr="00751B20">
              <w:rPr>
                <w:bCs/>
              </w:rPr>
              <w:t>af</w:t>
            </w:r>
            <w:proofErr w:type="spellEnd"/>
            <w:r w:rsidRPr="00751B20">
              <w:rPr>
                <w:bCs/>
              </w:rPr>
              <w:t xml:space="preserve"> 20. september 2007 </w:t>
            </w:r>
            <w:proofErr w:type="spellStart"/>
            <w:r w:rsidRPr="00751B20">
              <w:rPr>
                <w:bCs/>
              </w:rPr>
              <w:t>om</w:t>
            </w:r>
            <w:proofErr w:type="spellEnd"/>
            <w:r w:rsidRPr="00751B20">
              <w:rPr>
                <w:bCs/>
              </w:rPr>
              <w:t xml:space="preserve"> </w:t>
            </w:r>
            <w:proofErr w:type="spellStart"/>
            <w:r w:rsidRPr="00751B20">
              <w:rPr>
                <w:bCs/>
              </w:rPr>
              <w:t>ikrafttræden</w:t>
            </w:r>
            <w:proofErr w:type="spellEnd"/>
            <w:r w:rsidRPr="00751B20">
              <w:rPr>
                <w:bCs/>
              </w:rPr>
              <w:t xml:space="preserve"> for </w:t>
            </w:r>
            <w:proofErr w:type="spellStart"/>
            <w:r w:rsidRPr="00751B20">
              <w:rPr>
                <w:bCs/>
              </w:rPr>
              <w:t>Færøerne</w:t>
            </w:r>
            <w:proofErr w:type="spellEnd"/>
            <w:r w:rsidRPr="00751B20">
              <w:rPr>
                <w:bCs/>
              </w:rPr>
              <w:t xml:space="preserve"> </w:t>
            </w:r>
            <w:proofErr w:type="spellStart"/>
            <w:r w:rsidRPr="00751B20">
              <w:rPr>
                <w:bCs/>
              </w:rPr>
              <w:t>af</w:t>
            </w:r>
            <w:proofErr w:type="spellEnd"/>
            <w:r w:rsidRPr="00751B20">
              <w:rPr>
                <w:bCs/>
              </w:rPr>
              <w:t xml:space="preserve"> lov </w:t>
            </w:r>
            <w:proofErr w:type="spellStart"/>
            <w:r w:rsidRPr="00751B20">
              <w:rPr>
                <w:bCs/>
              </w:rPr>
              <w:t>om</w:t>
            </w:r>
            <w:proofErr w:type="spellEnd"/>
            <w:r w:rsidRPr="00751B20">
              <w:rPr>
                <w:bCs/>
              </w:rPr>
              <w:t xml:space="preserve"> </w:t>
            </w:r>
            <w:proofErr w:type="spellStart"/>
            <w:r w:rsidRPr="00751B20">
              <w:rPr>
                <w:bCs/>
              </w:rPr>
              <w:t>erhvervsdrivende</w:t>
            </w:r>
            <w:proofErr w:type="spellEnd"/>
            <w:r w:rsidRPr="00751B20">
              <w:rPr>
                <w:bCs/>
              </w:rPr>
              <w:t xml:space="preserve"> </w:t>
            </w:r>
            <w:proofErr w:type="spellStart"/>
            <w:r w:rsidRPr="00751B20">
              <w:rPr>
                <w:bCs/>
              </w:rPr>
              <w:t>fonde</w:t>
            </w:r>
            <w:proofErr w:type="spellEnd"/>
            <w:r w:rsidRPr="00751B20">
              <w:rPr>
                <w:bCs/>
              </w:rPr>
              <w:t xml:space="preserve">, og við heimild í § 17, stk. 6 í løgtingslóg nr. 55 frá 9. juni 2008 um tryggingarvirksemi, verða verandi í gildi, til reglur, </w:t>
            </w:r>
            <w:bookmarkStart w:id="13" w:name="_Hlk140563098"/>
            <w:r w:rsidRPr="00751B20">
              <w:rPr>
                <w:bCs/>
              </w:rPr>
              <w:t>ásettar við heimild í hesi løgtingslóg, koma ístaðin, ella tær verða settar úr gildi.</w:t>
            </w:r>
          </w:p>
          <w:bookmarkEnd w:id="13"/>
          <w:p w14:paraId="6783CB88" w14:textId="77777777" w:rsidR="00334F92" w:rsidRDefault="00334F92" w:rsidP="00FF07E2"/>
        </w:tc>
      </w:tr>
      <w:tr w:rsidR="00334F92" w14:paraId="7DF49CB1" w14:textId="77777777" w:rsidTr="009B5EDE">
        <w:tc>
          <w:tcPr>
            <w:tcW w:w="4508" w:type="dxa"/>
          </w:tcPr>
          <w:p w14:paraId="72E713A2" w14:textId="77777777" w:rsidR="00334F92" w:rsidRDefault="00334F92" w:rsidP="00FF07E2"/>
        </w:tc>
        <w:tc>
          <w:tcPr>
            <w:tcW w:w="4508" w:type="dxa"/>
          </w:tcPr>
          <w:p w14:paraId="25E93074" w14:textId="77777777" w:rsidR="00334F92" w:rsidRDefault="00334F92" w:rsidP="00FF07E2"/>
        </w:tc>
      </w:tr>
      <w:tr w:rsidR="00334F92" w14:paraId="556785E1" w14:textId="77777777" w:rsidTr="009B5EDE">
        <w:tc>
          <w:tcPr>
            <w:tcW w:w="4508" w:type="dxa"/>
          </w:tcPr>
          <w:p w14:paraId="2C2C283D" w14:textId="77777777" w:rsidR="00334F92" w:rsidRPr="003A6690" w:rsidRDefault="00334F92" w:rsidP="00FF07E2"/>
        </w:tc>
        <w:tc>
          <w:tcPr>
            <w:tcW w:w="4508" w:type="dxa"/>
          </w:tcPr>
          <w:p w14:paraId="35108267" w14:textId="77777777" w:rsidR="00334F92" w:rsidRDefault="00334F92" w:rsidP="00FF07E2"/>
        </w:tc>
      </w:tr>
      <w:tr w:rsidR="00334F92" w14:paraId="1A9352FD" w14:textId="77777777" w:rsidTr="009B5EDE">
        <w:tc>
          <w:tcPr>
            <w:tcW w:w="4508" w:type="dxa"/>
          </w:tcPr>
          <w:p w14:paraId="7F87E81E" w14:textId="77777777" w:rsidR="00334F92" w:rsidRDefault="00334F92" w:rsidP="00FF07E2"/>
        </w:tc>
        <w:tc>
          <w:tcPr>
            <w:tcW w:w="4508" w:type="dxa"/>
          </w:tcPr>
          <w:p w14:paraId="1BE0CFDF" w14:textId="77777777" w:rsidR="00334F92" w:rsidRDefault="00334F92" w:rsidP="00FF07E2"/>
        </w:tc>
      </w:tr>
      <w:tr w:rsidR="00334F92" w14:paraId="3AB4BF19" w14:textId="77777777" w:rsidTr="009B5EDE">
        <w:tc>
          <w:tcPr>
            <w:tcW w:w="4508" w:type="dxa"/>
          </w:tcPr>
          <w:p w14:paraId="20E3777F" w14:textId="77777777" w:rsidR="00334F92" w:rsidRDefault="00334F92" w:rsidP="00FF07E2"/>
        </w:tc>
        <w:tc>
          <w:tcPr>
            <w:tcW w:w="4508" w:type="dxa"/>
          </w:tcPr>
          <w:p w14:paraId="516C16D5" w14:textId="77777777" w:rsidR="00334F92" w:rsidRDefault="00334F92" w:rsidP="00FF07E2"/>
        </w:tc>
      </w:tr>
      <w:tr w:rsidR="00334F92" w14:paraId="05FB908C" w14:textId="77777777" w:rsidTr="009B5EDE">
        <w:tc>
          <w:tcPr>
            <w:tcW w:w="4508" w:type="dxa"/>
          </w:tcPr>
          <w:p w14:paraId="4313F421" w14:textId="77777777" w:rsidR="00334F92" w:rsidRDefault="00334F92" w:rsidP="00FF07E2"/>
        </w:tc>
        <w:tc>
          <w:tcPr>
            <w:tcW w:w="4508" w:type="dxa"/>
          </w:tcPr>
          <w:p w14:paraId="6F896BDB" w14:textId="77777777" w:rsidR="00334F92" w:rsidRDefault="00334F92" w:rsidP="00FF07E2"/>
        </w:tc>
      </w:tr>
      <w:tr w:rsidR="00334F92" w14:paraId="4F00BA1C" w14:textId="77777777" w:rsidTr="009B5EDE">
        <w:tc>
          <w:tcPr>
            <w:tcW w:w="4508" w:type="dxa"/>
          </w:tcPr>
          <w:p w14:paraId="1EE4F233" w14:textId="77777777" w:rsidR="00334F92" w:rsidRDefault="00334F92" w:rsidP="00FF07E2"/>
        </w:tc>
        <w:tc>
          <w:tcPr>
            <w:tcW w:w="4508" w:type="dxa"/>
          </w:tcPr>
          <w:p w14:paraId="502C4FDD" w14:textId="77777777" w:rsidR="00334F92" w:rsidRDefault="00334F92" w:rsidP="00FF07E2"/>
        </w:tc>
      </w:tr>
      <w:tr w:rsidR="00334F92" w14:paraId="05E03BC8" w14:textId="77777777" w:rsidTr="009B5EDE">
        <w:tc>
          <w:tcPr>
            <w:tcW w:w="4508" w:type="dxa"/>
          </w:tcPr>
          <w:p w14:paraId="69F0A26E" w14:textId="77777777" w:rsidR="00334F92" w:rsidRDefault="00334F92" w:rsidP="00FF07E2"/>
        </w:tc>
        <w:tc>
          <w:tcPr>
            <w:tcW w:w="4508" w:type="dxa"/>
          </w:tcPr>
          <w:p w14:paraId="4F944321" w14:textId="77777777" w:rsidR="00334F92" w:rsidRDefault="00334F92" w:rsidP="00FF07E2"/>
        </w:tc>
      </w:tr>
      <w:tr w:rsidR="00334F92" w14:paraId="7DC3DD42" w14:textId="77777777" w:rsidTr="009B5EDE">
        <w:tc>
          <w:tcPr>
            <w:tcW w:w="4508" w:type="dxa"/>
          </w:tcPr>
          <w:p w14:paraId="066225A0" w14:textId="77777777" w:rsidR="00334F92" w:rsidRDefault="00334F92" w:rsidP="00FF07E2"/>
        </w:tc>
        <w:tc>
          <w:tcPr>
            <w:tcW w:w="4508" w:type="dxa"/>
          </w:tcPr>
          <w:p w14:paraId="7E4A26EA" w14:textId="77777777" w:rsidR="00334F92" w:rsidRDefault="00334F92" w:rsidP="00FF07E2"/>
        </w:tc>
      </w:tr>
      <w:tr w:rsidR="00334F92" w14:paraId="6B6DEC24" w14:textId="77777777" w:rsidTr="009B5EDE">
        <w:tc>
          <w:tcPr>
            <w:tcW w:w="4508" w:type="dxa"/>
          </w:tcPr>
          <w:p w14:paraId="5E0C2FBA" w14:textId="77777777" w:rsidR="00334F92" w:rsidRDefault="00334F92" w:rsidP="00FF07E2"/>
        </w:tc>
        <w:tc>
          <w:tcPr>
            <w:tcW w:w="4508" w:type="dxa"/>
          </w:tcPr>
          <w:p w14:paraId="148FCB10" w14:textId="77777777" w:rsidR="00334F92" w:rsidRDefault="00334F92" w:rsidP="00FF07E2"/>
        </w:tc>
      </w:tr>
      <w:tr w:rsidR="00334F92" w14:paraId="674C2AB9" w14:textId="77777777" w:rsidTr="009B5EDE">
        <w:tc>
          <w:tcPr>
            <w:tcW w:w="4508" w:type="dxa"/>
          </w:tcPr>
          <w:p w14:paraId="73091E48" w14:textId="77777777" w:rsidR="00334F92" w:rsidRDefault="00334F92" w:rsidP="00FF07E2"/>
        </w:tc>
        <w:tc>
          <w:tcPr>
            <w:tcW w:w="4508" w:type="dxa"/>
          </w:tcPr>
          <w:p w14:paraId="3FDB9E14" w14:textId="77777777" w:rsidR="00334F92" w:rsidRDefault="00334F92" w:rsidP="00FF07E2"/>
        </w:tc>
      </w:tr>
      <w:tr w:rsidR="00334F92" w14:paraId="3223580D" w14:textId="77777777" w:rsidTr="009B5EDE">
        <w:tc>
          <w:tcPr>
            <w:tcW w:w="4508" w:type="dxa"/>
          </w:tcPr>
          <w:p w14:paraId="700FE3A8" w14:textId="77777777" w:rsidR="00334F92" w:rsidRDefault="00334F92" w:rsidP="00FF07E2"/>
        </w:tc>
        <w:tc>
          <w:tcPr>
            <w:tcW w:w="4508" w:type="dxa"/>
          </w:tcPr>
          <w:p w14:paraId="2C9D85D0" w14:textId="77777777" w:rsidR="00334F92" w:rsidRDefault="00334F92" w:rsidP="00FF07E2"/>
        </w:tc>
      </w:tr>
    </w:tbl>
    <w:p w14:paraId="1DDA2AC8" w14:textId="77777777" w:rsidR="007E6DF4" w:rsidRPr="00985567" w:rsidRDefault="007E6DF4" w:rsidP="00AE3B0F">
      <w:pPr>
        <w:spacing w:after="0"/>
      </w:pPr>
    </w:p>
    <w:sectPr w:rsidR="007E6DF4" w:rsidRPr="00985567" w:rsidSect="00296BFA">
      <w:headerReference w:type="even" r:id="rId13"/>
      <w:headerReference w:type="default" r:id="rId14"/>
      <w:footerReference w:type="default" r:id="rId15"/>
      <w:headerReference w:type="first" r:id="rId1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4685" w14:textId="77777777" w:rsidR="00C07B2B" w:rsidRDefault="00C07B2B" w:rsidP="003A5FF5">
      <w:pPr>
        <w:spacing w:after="0"/>
      </w:pPr>
      <w:r>
        <w:separator/>
      </w:r>
    </w:p>
  </w:endnote>
  <w:endnote w:type="continuationSeparator" w:id="0">
    <w:p w14:paraId="49AD7DB9" w14:textId="77777777" w:rsidR="00C07B2B" w:rsidRDefault="00C07B2B"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7999"/>
      <w:docPartObj>
        <w:docPartGallery w:val="Page Numbers (Bottom of Page)"/>
        <w:docPartUnique/>
      </w:docPartObj>
    </w:sdtPr>
    <w:sdtContent>
      <w:sdt>
        <w:sdtPr>
          <w:id w:val="1728636285"/>
          <w:docPartObj>
            <w:docPartGallery w:val="Page Numbers (Top of Page)"/>
            <w:docPartUnique/>
          </w:docPartObj>
        </w:sdtPr>
        <w:sdtContent>
          <w:p w14:paraId="7403EAE8" w14:textId="77777777" w:rsidR="00882164" w:rsidRPr="00882164" w:rsidRDefault="00882164">
            <w:pPr>
              <w:pStyle w:val="Sidefod"/>
              <w:jc w:val="center"/>
            </w:pPr>
            <w:r w:rsidRPr="00882164">
              <w:rPr>
                <w:bCs/>
              </w:rPr>
              <w:fldChar w:fldCharType="begin"/>
            </w:r>
            <w:r w:rsidRPr="00882164">
              <w:rPr>
                <w:bCs/>
              </w:rPr>
              <w:instrText>PAGE</w:instrText>
            </w:r>
            <w:r w:rsidRPr="00882164">
              <w:rPr>
                <w:bCs/>
              </w:rPr>
              <w:fldChar w:fldCharType="separate"/>
            </w:r>
            <w:r w:rsidR="009949D3">
              <w:rPr>
                <w:bCs/>
                <w:noProof/>
              </w:rPr>
              <w:t>1</w:t>
            </w:r>
            <w:r w:rsidRPr="00882164">
              <w:rPr>
                <w:bCs/>
              </w:rPr>
              <w:fldChar w:fldCharType="end"/>
            </w:r>
            <w:r w:rsidRPr="00882164">
              <w:rPr>
                <w:lang w:val="da-DK"/>
              </w:rPr>
              <w:t xml:space="preserve"> / </w:t>
            </w:r>
            <w:r w:rsidRPr="00882164">
              <w:rPr>
                <w:bCs/>
              </w:rPr>
              <w:fldChar w:fldCharType="begin"/>
            </w:r>
            <w:r w:rsidRPr="00882164">
              <w:rPr>
                <w:bCs/>
              </w:rPr>
              <w:instrText>NUMPAGES</w:instrText>
            </w:r>
            <w:r w:rsidRPr="00882164">
              <w:rPr>
                <w:bCs/>
              </w:rPr>
              <w:fldChar w:fldCharType="separate"/>
            </w:r>
            <w:r w:rsidR="009949D3">
              <w:rPr>
                <w:bCs/>
                <w:noProof/>
              </w:rPr>
              <w:t>1</w:t>
            </w:r>
            <w:r w:rsidRPr="00882164">
              <w:rPr>
                <w:bCs/>
              </w:rPr>
              <w:fldChar w:fldCharType="end"/>
            </w:r>
          </w:p>
        </w:sdtContent>
      </w:sdt>
    </w:sdtContent>
  </w:sdt>
  <w:p w14:paraId="5557C924" w14:textId="77777777" w:rsidR="00882164" w:rsidRDefault="008821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18A3" w14:textId="77777777" w:rsidR="00C07B2B" w:rsidRDefault="00C07B2B" w:rsidP="003A5FF5">
      <w:pPr>
        <w:spacing w:after="0"/>
      </w:pPr>
      <w:r>
        <w:separator/>
      </w:r>
    </w:p>
  </w:footnote>
  <w:footnote w:type="continuationSeparator" w:id="0">
    <w:p w14:paraId="780BC2D2" w14:textId="77777777" w:rsidR="00C07B2B" w:rsidRDefault="00C07B2B" w:rsidP="003A5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C629" w14:textId="77777777" w:rsidR="002B1F15" w:rsidRPr="00DA32B2" w:rsidRDefault="002B1F15">
    <w:pPr>
      <w:pStyle w:val="Sidehoved"/>
    </w:pPr>
  </w:p>
  <w:p w14:paraId="054DEB77" w14:textId="77777777" w:rsidR="002B1F15" w:rsidRPr="00DA32B2" w:rsidRDefault="002B1F1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3059" w14:textId="77777777" w:rsidR="00DA32B2" w:rsidRPr="00DA32B2" w:rsidRDefault="00DA32B2" w:rsidP="00035C9D">
    <w:pPr>
      <w:pStyle w:val="Sidehoved"/>
      <w:tabs>
        <w:tab w:val="left" w:pos="3690"/>
      </w:tabs>
      <w:spacing w:before="24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EF28" w14:textId="77777777" w:rsidR="00035C9D" w:rsidRDefault="00035C9D">
    <w:pPr>
      <w:pStyle w:val="Sidehoved"/>
    </w:pPr>
  </w:p>
  <w:p w14:paraId="56A7BA0E" w14:textId="77777777" w:rsidR="00C507D7" w:rsidRDefault="00C507D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845"/>
    <w:multiLevelType w:val="hybridMultilevel"/>
    <w:tmpl w:val="8B1A07AC"/>
    <w:lvl w:ilvl="0" w:tplc="7DF8066E">
      <w:start w:val="3"/>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0A3484"/>
    <w:multiLevelType w:val="hybridMultilevel"/>
    <w:tmpl w:val="521450B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30E4E87"/>
    <w:multiLevelType w:val="hybridMultilevel"/>
    <w:tmpl w:val="0F7A287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 w15:restartNumberingAfterBreak="0">
    <w:nsid w:val="362E5291"/>
    <w:multiLevelType w:val="hybridMultilevel"/>
    <w:tmpl w:val="8068B3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B0C7654"/>
    <w:multiLevelType w:val="hybridMultilevel"/>
    <w:tmpl w:val="19182FB6"/>
    <w:lvl w:ilvl="0" w:tplc="D2F6ABBE">
      <w:start w:val="1"/>
      <w:numFmt w:val="decimal"/>
      <w:lvlText w:val="%1."/>
      <w:lvlJc w:val="left"/>
      <w:pPr>
        <w:ind w:left="360" w:hanging="360"/>
      </w:pPr>
      <w:rPr>
        <w:rFonts w:hint="default"/>
        <w:b/>
        <w:bCs/>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5" w15:restartNumberingAfterBreak="0">
    <w:nsid w:val="3F112600"/>
    <w:multiLevelType w:val="hybridMultilevel"/>
    <w:tmpl w:val="EB9C3F98"/>
    <w:lvl w:ilvl="0" w:tplc="7736E072">
      <w:start w:val="3"/>
      <w:numFmt w:val="decimal"/>
      <w:lvlText w:val="%1)"/>
      <w:lvlJc w:val="left"/>
      <w:pPr>
        <w:ind w:left="50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FDC1C08"/>
    <w:multiLevelType w:val="hybridMultilevel"/>
    <w:tmpl w:val="E6747D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95688F"/>
    <w:multiLevelType w:val="hybridMultilevel"/>
    <w:tmpl w:val="E6747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AA1C3A"/>
    <w:multiLevelType w:val="hybridMultilevel"/>
    <w:tmpl w:val="870C6346"/>
    <w:lvl w:ilvl="0" w:tplc="CB5C47FA">
      <w:start w:val="1"/>
      <w:numFmt w:val="decimal"/>
      <w:lvlText w:val="%1."/>
      <w:lvlJc w:val="left"/>
      <w:pPr>
        <w:ind w:left="36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0" w15:restartNumberingAfterBreak="0">
    <w:nsid w:val="5A1E0D4D"/>
    <w:multiLevelType w:val="hybridMultilevel"/>
    <w:tmpl w:val="BC34B324"/>
    <w:lvl w:ilvl="0" w:tplc="00CAA930">
      <w:start w:val="1"/>
      <w:numFmt w:val="decimal"/>
      <w:lvlText w:val="%1."/>
      <w:lvlJc w:val="left"/>
      <w:pPr>
        <w:ind w:left="36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2" w15:restartNumberingAfterBreak="0">
    <w:nsid w:val="690524C3"/>
    <w:multiLevelType w:val="hybridMultilevel"/>
    <w:tmpl w:val="5BBE04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57F62CB"/>
    <w:multiLevelType w:val="hybridMultilevel"/>
    <w:tmpl w:val="5FF22306"/>
    <w:lvl w:ilvl="0" w:tplc="090A1C34">
      <w:start w:val="1"/>
      <w:numFmt w:val="decimal"/>
      <w:lvlText w:val="%1."/>
      <w:lvlJc w:val="left"/>
      <w:pPr>
        <w:ind w:left="360" w:hanging="360"/>
      </w:pPr>
      <w:rPr>
        <w:rFonts w:hint="default"/>
        <w:b/>
        <w:bCs/>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num w:numId="1" w16cid:durableId="1963536681">
    <w:abstractNumId w:val="11"/>
  </w:num>
  <w:num w:numId="2" w16cid:durableId="2100103981">
    <w:abstractNumId w:val="9"/>
  </w:num>
  <w:num w:numId="3" w16cid:durableId="505940390">
    <w:abstractNumId w:val="13"/>
  </w:num>
  <w:num w:numId="4" w16cid:durableId="958952393">
    <w:abstractNumId w:val="1"/>
  </w:num>
  <w:num w:numId="5" w16cid:durableId="1911891850">
    <w:abstractNumId w:val="0"/>
  </w:num>
  <w:num w:numId="6" w16cid:durableId="1301038187">
    <w:abstractNumId w:val="4"/>
  </w:num>
  <w:num w:numId="7" w16cid:durableId="1517427090">
    <w:abstractNumId w:val="2"/>
  </w:num>
  <w:num w:numId="8" w16cid:durableId="2072381327">
    <w:abstractNumId w:val="10"/>
  </w:num>
  <w:num w:numId="9" w16cid:durableId="390158506">
    <w:abstractNumId w:val="5"/>
  </w:num>
  <w:num w:numId="10" w16cid:durableId="509027994">
    <w:abstractNumId w:val="6"/>
  </w:num>
  <w:num w:numId="11" w16cid:durableId="389502747">
    <w:abstractNumId w:val="7"/>
  </w:num>
  <w:num w:numId="12" w16cid:durableId="1261182782">
    <w:abstractNumId w:val="3"/>
  </w:num>
  <w:num w:numId="13" w16cid:durableId="108747185">
    <w:abstractNumId w:val="12"/>
  </w:num>
  <w:num w:numId="14" w16cid:durableId="1901936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DE"/>
    <w:rsid w:val="00000BEA"/>
    <w:rsid w:val="00010CB1"/>
    <w:rsid w:val="00015E7F"/>
    <w:rsid w:val="00020222"/>
    <w:rsid w:val="00023E5F"/>
    <w:rsid w:val="000274D4"/>
    <w:rsid w:val="00035C9D"/>
    <w:rsid w:val="00041E53"/>
    <w:rsid w:val="0004472A"/>
    <w:rsid w:val="000447FF"/>
    <w:rsid w:val="00044B9C"/>
    <w:rsid w:val="00046F0D"/>
    <w:rsid w:val="00050EE9"/>
    <w:rsid w:val="00053D77"/>
    <w:rsid w:val="000638FA"/>
    <w:rsid w:val="000768C0"/>
    <w:rsid w:val="00086403"/>
    <w:rsid w:val="00092757"/>
    <w:rsid w:val="000934CA"/>
    <w:rsid w:val="000948B4"/>
    <w:rsid w:val="000A3A49"/>
    <w:rsid w:val="000A4072"/>
    <w:rsid w:val="000B681F"/>
    <w:rsid w:val="000C13C9"/>
    <w:rsid w:val="000C26A3"/>
    <w:rsid w:val="000C33C9"/>
    <w:rsid w:val="000D2DDB"/>
    <w:rsid w:val="000D619F"/>
    <w:rsid w:val="000E3179"/>
    <w:rsid w:val="000F5064"/>
    <w:rsid w:val="000F68B4"/>
    <w:rsid w:val="00100769"/>
    <w:rsid w:val="0010185F"/>
    <w:rsid w:val="00112EDB"/>
    <w:rsid w:val="0011679C"/>
    <w:rsid w:val="001330EA"/>
    <w:rsid w:val="00135121"/>
    <w:rsid w:val="001540F5"/>
    <w:rsid w:val="001741E2"/>
    <w:rsid w:val="00184827"/>
    <w:rsid w:val="00184D6D"/>
    <w:rsid w:val="001A54FD"/>
    <w:rsid w:val="001B5E54"/>
    <w:rsid w:val="001C2F55"/>
    <w:rsid w:val="001C56D0"/>
    <w:rsid w:val="001D115C"/>
    <w:rsid w:val="001D2CB1"/>
    <w:rsid w:val="001D2CF3"/>
    <w:rsid w:val="001D6054"/>
    <w:rsid w:val="001F6EAF"/>
    <w:rsid w:val="001F739F"/>
    <w:rsid w:val="0022227E"/>
    <w:rsid w:val="00227916"/>
    <w:rsid w:val="002324D6"/>
    <w:rsid w:val="00245DF4"/>
    <w:rsid w:val="002514DB"/>
    <w:rsid w:val="0025385F"/>
    <w:rsid w:val="00255773"/>
    <w:rsid w:val="002624CF"/>
    <w:rsid w:val="00264D63"/>
    <w:rsid w:val="00274832"/>
    <w:rsid w:val="00286024"/>
    <w:rsid w:val="00296BFA"/>
    <w:rsid w:val="002B1F15"/>
    <w:rsid w:val="002C2A21"/>
    <w:rsid w:val="002C3B62"/>
    <w:rsid w:val="002C49A1"/>
    <w:rsid w:val="002C76AC"/>
    <w:rsid w:val="002C7E06"/>
    <w:rsid w:val="002E32FD"/>
    <w:rsid w:val="002F4B04"/>
    <w:rsid w:val="002F6E05"/>
    <w:rsid w:val="00304EDA"/>
    <w:rsid w:val="00305ED2"/>
    <w:rsid w:val="0031539E"/>
    <w:rsid w:val="00320C77"/>
    <w:rsid w:val="003244A5"/>
    <w:rsid w:val="00334F92"/>
    <w:rsid w:val="003452F1"/>
    <w:rsid w:val="00346B10"/>
    <w:rsid w:val="00352970"/>
    <w:rsid w:val="003532E7"/>
    <w:rsid w:val="00356BCF"/>
    <w:rsid w:val="00370861"/>
    <w:rsid w:val="00380999"/>
    <w:rsid w:val="003812FF"/>
    <w:rsid w:val="003A312A"/>
    <w:rsid w:val="003A43FF"/>
    <w:rsid w:val="003A5FF5"/>
    <w:rsid w:val="003A6690"/>
    <w:rsid w:val="003A716C"/>
    <w:rsid w:val="003B44DD"/>
    <w:rsid w:val="003C7E73"/>
    <w:rsid w:val="003D385E"/>
    <w:rsid w:val="003E0D87"/>
    <w:rsid w:val="003F21D5"/>
    <w:rsid w:val="004039D6"/>
    <w:rsid w:val="0040470F"/>
    <w:rsid w:val="00421B22"/>
    <w:rsid w:val="00422D16"/>
    <w:rsid w:val="00425520"/>
    <w:rsid w:val="0043362C"/>
    <w:rsid w:val="004346F9"/>
    <w:rsid w:val="00436C74"/>
    <w:rsid w:val="0045456D"/>
    <w:rsid w:val="00457696"/>
    <w:rsid w:val="00460D90"/>
    <w:rsid w:val="00462AC1"/>
    <w:rsid w:val="00464E42"/>
    <w:rsid w:val="00484438"/>
    <w:rsid w:val="00486FC9"/>
    <w:rsid w:val="00492EB4"/>
    <w:rsid w:val="00497580"/>
    <w:rsid w:val="004A178F"/>
    <w:rsid w:val="004A2D09"/>
    <w:rsid w:val="004A5BC3"/>
    <w:rsid w:val="004A5E8D"/>
    <w:rsid w:val="004B2B69"/>
    <w:rsid w:val="004C105C"/>
    <w:rsid w:val="004C1845"/>
    <w:rsid w:val="004F5B32"/>
    <w:rsid w:val="0050180E"/>
    <w:rsid w:val="005061E4"/>
    <w:rsid w:val="005068D8"/>
    <w:rsid w:val="00511554"/>
    <w:rsid w:val="00517216"/>
    <w:rsid w:val="00520208"/>
    <w:rsid w:val="00520C59"/>
    <w:rsid w:val="005235E3"/>
    <w:rsid w:val="005308D3"/>
    <w:rsid w:val="005347EC"/>
    <w:rsid w:val="00551F59"/>
    <w:rsid w:val="005636BE"/>
    <w:rsid w:val="00566880"/>
    <w:rsid w:val="005808CC"/>
    <w:rsid w:val="00582BE9"/>
    <w:rsid w:val="005A34E4"/>
    <w:rsid w:val="005A4328"/>
    <w:rsid w:val="005A4A66"/>
    <w:rsid w:val="005B3879"/>
    <w:rsid w:val="005C039A"/>
    <w:rsid w:val="005C26C3"/>
    <w:rsid w:val="005C2D1A"/>
    <w:rsid w:val="005C2E93"/>
    <w:rsid w:val="005C39A9"/>
    <w:rsid w:val="005C5CE3"/>
    <w:rsid w:val="005C7ECC"/>
    <w:rsid w:val="005D6AB2"/>
    <w:rsid w:val="00602AEF"/>
    <w:rsid w:val="006166C1"/>
    <w:rsid w:val="006243AE"/>
    <w:rsid w:val="0062609A"/>
    <w:rsid w:val="006333F9"/>
    <w:rsid w:val="00656DB8"/>
    <w:rsid w:val="006606D7"/>
    <w:rsid w:val="006642ED"/>
    <w:rsid w:val="00667896"/>
    <w:rsid w:val="00671ABB"/>
    <w:rsid w:val="006754FD"/>
    <w:rsid w:val="006855F3"/>
    <w:rsid w:val="00692307"/>
    <w:rsid w:val="006944BF"/>
    <w:rsid w:val="006A052D"/>
    <w:rsid w:val="006A4126"/>
    <w:rsid w:val="006A758C"/>
    <w:rsid w:val="006D3E3B"/>
    <w:rsid w:val="006E2D6E"/>
    <w:rsid w:val="007038B8"/>
    <w:rsid w:val="007315C0"/>
    <w:rsid w:val="00745D4A"/>
    <w:rsid w:val="00746B18"/>
    <w:rsid w:val="00756C7C"/>
    <w:rsid w:val="0076665D"/>
    <w:rsid w:val="00770A17"/>
    <w:rsid w:val="00771B25"/>
    <w:rsid w:val="0077428F"/>
    <w:rsid w:val="00784FD7"/>
    <w:rsid w:val="0079199C"/>
    <w:rsid w:val="00794E1A"/>
    <w:rsid w:val="007B1DEC"/>
    <w:rsid w:val="007B2A2C"/>
    <w:rsid w:val="007B6E71"/>
    <w:rsid w:val="007C21E3"/>
    <w:rsid w:val="007D5B26"/>
    <w:rsid w:val="007E0848"/>
    <w:rsid w:val="007E6DF4"/>
    <w:rsid w:val="00806D41"/>
    <w:rsid w:val="0080742C"/>
    <w:rsid w:val="00814678"/>
    <w:rsid w:val="00823533"/>
    <w:rsid w:val="00823566"/>
    <w:rsid w:val="008303CF"/>
    <w:rsid w:val="00834A49"/>
    <w:rsid w:val="00841D5A"/>
    <w:rsid w:val="008457DE"/>
    <w:rsid w:val="00845ADF"/>
    <w:rsid w:val="008470A3"/>
    <w:rsid w:val="008535EF"/>
    <w:rsid w:val="008538D7"/>
    <w:rsid w:val="00854285"/>
    <w:rsid w:val="00871900"/>
    <w:rsid w:val="00876CD5"/>
    <w:rsid w:val="00876D2D"/>
    <w:rsid w:val="00882164"/>
    <w:rsid w:val="008901BB"/>
    <w:rsid w:val="008A0855"/>
    <w:rsid w:val="008A6988"/>
    <w:rsid w:val="008B219C"/>
    <w:rsid w:val="008B21B2"/>
    <w:rsid w:val="008B6B55"/>
    <w:rsid w:val="008C1080"/>
    <w:rsid w:val="008C5493"/>
    <w:rsid w:val="008D5CAC"/>
    <w:rsid w:val="008E1718"/>
    <w:rsid w:val="008E4219"/>
    <w:rsid w:val="008F74CF"/>
    <w:rsid w:val="00901899"/>
    <w:rsid w:val="00914A2A"/>
    <w:rsid w:val="00917EA9"/>
    <w:rsid w:val="0092039A"/>
    <w:rsid w:val="00930912"/>
    <w:rsid w:val="0093386F"/>
    <w:rsid w:val="00934D57"/>
    <w:rsid w:val="00935C49"/>
    <w:rsid w:val="009406F8"/>
    <w:rsid w:val="00973742"/>
    <w:rsid w:val="00983448"/>
    <w:rsid w:val="00985567"/>
    <w:rsid w:val="00985A5D"/>
    <w:rsid w:val="00985FA5"/>
    <w:rsid w:val="00986B87"/>
    <w:rsid w:val="0099053D"/>
    <w:rsid w:val="009949D3"/>
    <w:rsid w:val="009A2669"/>
    <w:rsid w:val="009B0FB9"/>
    <w:rsid w:val="009B1416"/>
    <w:rsid w:val="009B3BDD"/>
    <w:rsid w:val="009B5EDE"/>
    <w:rsid w:val="009B6E5A"/>
    <w:rsid w:val="009B79D3"/>
    <w:rsid w:val="009C0ABB"/>
    <w:rsid w:val="009C3E65"/>
    <w:rsid w:val="009C5EFA"/>
    <w:rsid w:val="009D4DA1"/>
    <w:rsid w:val="009D6A6C"/>
    <w:rsid w:val="009D7C4E"/>
    <w:rsid w:val="009E1FE3"/>
    <w:rsid w:val="009E7627"/>
    <w:rsid w:val="009F14D3"/>
    <w:rsid w:val="00A16870"/>
    <w:rsid w:val="00A17140"/>
    <w:rsid w:val="00A271C6"/>
    <w:rsid w:val="00A34211"/>
    <w:rsid w:val="00A50498"/>
    <w:rsid w:val="00A53AF7"/>
    <w:rsid w:val="00A54D65"/>
    <w:rsid w:val="00A576ED"/>
    <w:rsid w:val="00A577CF"/>
    <w:rsid w:val="00A65B90"/>
    <w:rsid w:val="00A73EA1"/>
    <w:rsid w:val="00A82321"/>
    <w:rsid w:val="00A9333C"/>
    <w:rsid w:val="00A9350B"/>
    <w:rsid w:val="00AA09DA"/>
    <w:rsid w:val="00AA1EF6"/>
    <w:rsid w:val="00AA3703"/>
    <w:rsid w:val="00AA4164"/>
    <w:rsid w:val="00AA5CB8"/>
    <w:rsid w:val="00AA77E9"/>
    <w:rsid w:val="00AC07AB"/>
    <w:rsid w:val="00AD04B2"/>
    <w:rsid w:val="00AE05B4"/>
    <w:rsid w:val="00AE3B0F"/>
    <w:rsid w:val="00AE48A0"/>
    <w:rsid w:val="00AE73BD"/>
    <w:rsid w:val="00AF06B1"/>
    <w:rsid w:val="00AF0DF5"/>
    <w:rsid w:val="00AF4D41"/>
    <w:rsid w:val="00AF7B57"/>
    <w:rsid w:val="00B21AD0"/>
    <w:rsid w:val="00B313F2"/>
    <w:rsid w:val="00B40416"/>
    <w:rsid w:val="00B42722"/>
    <w:rsid w:val="00B5206A"/>
    <w:rsid w:val="00B62CFD"/>
    <w:rsid w:val="00B87D42"/>
    <w:rsid w:val="00B90291"/>
    <w:rsid w:val="00B933A3"/>
    <w:rsid w:val="00BB6385"/>
    <w:rsid w:val="00BC43C2"/>
    <w:rsid w:val="00BD2CAA"/>
    <w:rsid w:val="00BE0197"/>
    <w:rsid w:val="00BE22CB"/>
    <w:rsid w:val="00BE2E33"/>
    <w:rsid w:val="00BE5D35"/>
    <w:rsid w:val="00BF333D"/>
    <w:rsid w:val="00BF69A4"/>
    <w:rsid w:val="00C02A7D"/>
    <w:rsid w:val="00C07723"/>
    <w:rsid w:val="00C07B2B"/>
    <w:rsid w:val="00C10B7B"/>
    <w:rsid w:val="00C15BAD"/>
    <w:rsid w:val="00C16F07"/>
    <w:rsid w:val="00C31DD2"/>
    <w:rsid w:val="00C33DD2"/>
    <w:rsid w:val="00C4281B"/>
    <w:rsid w:val="00C507D7"/>
    <w:rsid w:val="00C60A1D"/>
    <w:rsid w:val="00C64A9B"/>
    <w:rsid w:val="00C65B06"/>
    <w:rsid w:val="00C84DD8"/>
    <w:rsid w:val="00C85148"/>
    <w:rsid w:val="00C91D61"/>
    <w:rsid w:val="00C94B40"/>
    <w:rsid w:val="00C95A4E"/>
    <w:rsid w:val="00CA26B8"/>
    <w:rsid w:val="00CA3550"/>
    <w:rsid w:val="00CA7D8B"/>
    <w:rsid w:val="00CB00FB"/>
    <w:rsid w:val="00CD750B"/>
    <w:rsid w:val="00D04E40"/>
    <w:rsid w:val="00D10CE4"/>
    <w:rsid w:val="00D11735"/>
    <w:rsid w:val="00D20BB7"/>
    <w:rsid w:val="00D20DEA"/>
    <w:rsid w:val="00D22728"/>
    <w:rsid w:val="00D229E8"/>
    <w:rsid w:val="00D354E5"/>
    <w:rsid w:val="00D361F6"/>
    <w:rsid w:val="00D40B9D"/>
    <w:rsid w:val="00D44515"/>
    <w:rsid w:val="00D45046"/>
    <w:rsid w:val="00D53C04"/>
    <w:rsid w:val="00D54D84"/>
    <w:rsid w:val="00D56F25"/>
    <w:rsid w:val="00D601A5"/>
    <w:rsid w:val="00D65C85"/>
    <w:rsid w:val="00D725B9"/>
    <w:rsid w:val="00D77BA6"/>
    <w:rsid w:val="00D857F0"/>
    <w:rsid w:val="00D908B1"/>
    <w:rsid w:val="00D90E8D"/>
    <w:rsid w:val="00D9285B"/>
    <w:rsid w:val="00D96E70"/>
    <w:rsid w:val="00D97232"/>
    <w:rsid w:val="00DA32B2"/>
    <w:rsid w:val="00DB2945"/>
    <w:rsid w:val="00DB5CCE"/>
    <w:rsid w:val="00DF446B"/>
    <w:rsid w:val="00E13791"/>
    <w:rsid w:val="00E20280"/>
    <w:rsid w:val="00E20315"/>
    <w:rsid w:val="00E435CB"/>
    <w:rsid w:val="00E50744"/>
    <w:rsid w:val="00E531C5"/>
    <w:rsid w:val="00E62C92"/>
    <w:rsid w:val="00E91105"/>
    <w:rsid w:val="00E91F9E"/>
    <w:rsid w:val="00E97352"/>
    <w:rsid w:val="00EA1B3E"/>
    <w:rsid w:val="00EA5003"/>
    <w:rsid w:val="00EB2650"/>
    <w:rsid w:val="00EC2245"/>
    <w:rsid w:val="00ED7A20"/>
    <w:rsid w:val="00EF3F7A"/>
    <w:rsid w:val="00F01E75"/>
    <w:rsid w:val="00F110D7"/>
    <w:rsid w:val="00F1615D"/>
    <w:rsid w:val="00F2565F"/>
    <w:rsid w:val="00F26FE4"/>
    <w:rsid w:val="00F31F81"/>
    <w:rsid w:val="00F36633"/>
    <w:rsid w:val="00F478DE"/>
    <w:rsid w:val="00F538C3"/>
    <w:rsid w:val="00F82BF5"/>
    <w:rsid w:val="00F905C6"/>
    <w:rsid w:val="00FA2AA0"/>
    <w:rsid w:val="00FB26B2"/>
    <w:rsid w:val="00FB643C"/>
    <w:rsid w:val="00FD2BE2"/>
    <w:rsid w:val="00FD64F6"/>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016485"/>
  <w15:chartTrackingRefBased/>
  <w15:docId w15:val="{6366313D-7C79-4D30-8214-AC307FF3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o-F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1D"/>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i/>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qFormat/>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paragraph" w:customStyle="1" w:styleId="Stk">
    <w:name w:val="Stk"/>
    <w:basedOn w:val="Normal"/>
    <w:link w:val="StkTegn"/>
    <w:rsid w:val="009B5EDE"/>
    <w:pPr>
      <w:spacing w:after="0"/>
      <w:ind w:firstLine="170"/>
    </w:pPr>
    <w:rPr>
      <w:rFonts w:eastAsia="Times New Roman"/>
      <w:lang w:eastAsia="fo-FO"/>
    </w:rPr>
  </w:style>
  <w:style w:type="character" w:customStyle="1" w:styleId="StkTegn">
    <w:name w:val="Stk Tegn"/>
    <w:link w:val="Stk"/>
    <w:rsid w:val="009B5EDE"/>
    <w:rPr>
      <w:rFonts w:eastAsia="Times New Roman"/>
      <w:lang w:eastAsia="fo-FO"/>
    </w:rPr>
  </w:style>
  <w:style w:type="character" w:styleId="Fodnotehenvisning">
    <w:name w:val="footnote reference"/>
    <w:basedOn w:val="Standardskrifttypeiafsnit"/>
    <w:uiPriority w:val="99"/>
    <w:semiHidden/>
    <w:unhideWhenUsed/>
    <w:rsid w:val="009B5EDE"/>
  </w:style>
  <w:style w:type="paragraph" w:customStyle="1" w:styleId="paragraftekst">
    <w:name w:val="paragraftekst"/>
    <w:basedOn w:val="Normal"/>
    <w:rsid w:val="000768C0"/>
    <w:pPr>
      <w:spacing w:before="100" w:beforeAutospacing="1" w:after="100" w:afterAutospacing="1"/>
    </w:pPr>
    <w:rPr>
      <w:rFonts w:eastAsia="Times New Roman"/>
      <w:lang w:val="da-DK" w:eastAsia="da-DK"/>
    </w:rPr>
  </w:style>
  <w:style w:type="paragraph" w:customStyle="1" w:styleId="stk0">
    <w:name w:val="stk"/>
    <w:basedOn w:val="Normal"/>
    <w:rsid w:val="000768C0"/>
    <w:pPr>
      <w:spacing w:before="100" w:beforeAutospacing="1" w:after="100" w:afterAutospacing="1"/>
    </w:pPr>
    <w:rPr>
      <w:rFonts w:eastAsia="Times New Roman"/>
      <w:lang w:val="da-DK" w:eastAsia="da-DK"/>
    </w:rPr>
  </w:style>
  <w:style w:type="paragraph" w:customStyle="1" w:styleId="nummer">
    <w:name w:val="nummer"/>
    <w:basedOn w:val="Normal"/>
    <w:rsid w:val="00BE0197"/>
    <w:pPr>
      <w:spacing w:before="100" w:beforeAutospacing="1" w:after="100" w:afterAutospacing="1"/>
    </w:pPr>
    <w:rPr>
      <w:rFonts w:eastAsia="Times New Roman"/>
      <w:lang w:val="da-DK" w:eastAsia="da-DK"/>
    </w:rPr>
  </w:style>
  <w:style w:type="character" w:customStyle="1" w:styleId="paragrafnr">
    <w:name w:val="paragrafnr"/>
    <w:basedOn w:val="Standardskrifttypeiafsnit"/>
    <w:rsid w:val="00D9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0988">
      <w:bodyDiv w:val="1"/>
      <w:marLeft w:val="0"/>
      <w:marRight w:val="0"/>
      <w:marTop w:val="0"/>
      <w:marBottom w:val="0"/>
      <w:divBdr>
        <w:top w:val="none" w:sz="0" w:space="0" w:color="auto"/>
        <w:left w:val="none" w:sz="0" w:space="0" w:color="auto"/>
        <w:bottom w:val="none" w:sz="0" w:space="0" w:color="auto"/>
        <w:right w:val="none" w:sz="0" w:space="0" w:color="auto"/>
      </w:divBdr>
    </w:div>
    <w:div w:id="651718194">
      <w:bodyDiv w:val="1"/>
      <w:marLeft w:val="0"/>
      <w:marRight w:val="0"/>
      <w:marTop w:val="0"/>
      <w:marBottom w:val="0"/>
      <w:divBdr>
        <w:top w:val="none" w:sz="0" w:space="0" w:color="auto"/>
        <w:left w:val="none" w:sz="0" w:space="0" w:color="auto"/>
        <w:bottom w:val="none" w:sz="0" w:space="0" w:color="auto"/>
        <w:right w:val="none" w:sz="0" w:space="0" w:color="auto"/>
      </w:divBdr>
    </w:div>
    <w:div w:id="738481475">
      <w:bodyDiv w:val="1"/>
      <w:marLeft w:val="0"/>
      <w:marRight w:val="0"/>
      <w:marTop w:val="0"/>
      <w:marBottom w:val="0"/>
      <w:divBdr>
        <w:top w:val="none" w:sz="0" w:space="0" w:color="auto"/>
        <w:left w:val="none" w:sz="0" w:space="0" w:color="auto"/>
        <w:bottom w:val="none" w:sz="0" w:space="0" w:color="auto"/>
        <w:right w:val="none" w:sz="0" w:space="0" w:color="auto"/>
      </w:divBdr>
    </w:div>
    <w:div w:id="750275338">
      <w:bodyDiv w:val="1"/>
      <w:marLeft w:val="0"/>
      <w:marRight w:val="0"/>
      <w:marTop w:val="0"/>
      <w:marBottom w:val="0"/>
      <w:divBdr>
        <w:top w:val="none" w:sz="0" w:space="0" w:color="auto"/>
        <w:left w:val="none" w:sz="0" w:space="0" w:color="auto"/>
        <w:bottom w:val="none" w:sz="0" w:space="0" w:color="auto"/>
        <w:right w:val="none" w:sz="0" w:space="0" w:color="auto"/>
      </w:divBdr>
    </w:div>
    <w:div w:id="805659927">
      <w:bodyDiv w:val="1"/>
      <w:marLeft w:val="0"/>
      <w:marRight w:val="0"/>
      <w:marTop w:val="0"/>
      <w:marBottom w:val="0"/>
      <w:divBdr>
        <w:top w:val="none" w:sz="0" w:space="0" w:color="auto"/>
        <w:left w:val="none" w:sz="0" w:space="0" w:color="auto"/>
        <w:bottom w:val="none" w:sz="0" w:space="0" w:color="auto"/>
        <w:right w:val="none" w:sz="0" w:space="0" w:color="auto"/>
      </w:divBdr>
    </w:div>
    <w:div w:id="860706995">
      <w:bodyDiv w:val="1"/>
      <w:marLeft w:val="0"/>
      <w:marRight w:val="0"/>
      <w:marTop w:val="0"/>
      <w:marBottom w:val="0"/>
      <w:divBdr>
        <w:top w:val="none" w:sz="0" w:space="0" w:color="auto"/>
        <w:left w:val="none" w:sz="0" w:space="0" w:color="auto"/>
        <w:bottom w:val="none" w:sz="0" w:space="0" w:color="auto"/>
        <w:right w:val="none" w:sz="0" w:space="0" w:color="auto"/>
      </w:divBdr>
    </w:div>
    <w:div w:id="1107962421">
      <w:bodyDiv w:val="1"/>
      <w:marLeft w:val="0"/>
      <w:marRight w:val="0"/>
      <w:marTop w:val="0"/>
      <w:marBottom w:val="0"/>
      <w:divBdr>
        <w:top w:val="none" w:sz="0" w:space="0" w:color="auto"/>
        <w:left w:val="none" w:sz="0" w:space="0" w:color="auto"/>
        <w:bottom w:val="none" w:sz="0" w:space="0" w:color="auto"/>
        <w:right w:val="none" w:sz="0" w:space="0" w:color="auto"/>
      </w:divBdr>
    </w:div>
    <w:div w:id="1947687769">
      <w:bodyDiv w:val="1"/>
      <w:marLeft w:val="0"/>
      <w:marRight w:val="0"/>
      <w:marTop w:val="0"/>
      <w:marBottom w:val="0"/>
      <w:divBdr>
        <w:top w:val="none" w:sz="0" w:space="0" w:color="auto"/>
        <w:left w:val="none" w:sz="0" w:space="0" w:color="auto"/>
        <w:bottom w:val="none" w:sz="0" w:space="0" w:color="auto"/>
        <w:right w:val="none" w:sz="0" w:space="0" w:color="auto"/>
      </w:divBdr>
    </w:div>
    <w:div w:id="19487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gir.fo/Logtingslog/55-fra-09-06-2008-um-tryggingarvirksemi-sum-seinast-broytt-vid-logtingslog-nr137-fra-20-desemb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1266\Desktop\Broyting%20&#237;%20vinnufelagsl&#243;gini%202023\R&#230;ttingar%20o.a\Javntekstu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F26FB1BD61F245A5F8B56C0B9AFC91" ma:contentTypeVersion="3" ma:contentTypeDescription="Opret et nyt dokument." ma:contentTypeScope="" ma:versionID="3835f8edc81cb63e638eb394d55cec15">
  <xsd:schema xmlns:xsd="http://www.w3.org/2001/XMLSchema" xmlns:xs="http://www.w3.org/2001/XMLSchema" xmlns:p="http://schemas.microsoft.com/office/2006/metadata/properties" xmlns:ns3="5f7c48b1-fd72-4693-9c3a-f0daadc708e6" targetNamespace="http://schemas.microsoft.com/office/2006/metadata/properties" ma:root="true" ma:fieldsID="470941c18f08b27b17f7552621bcf673" ns3:_="">
    <xsd:import namespace="5f7c48b1-fd72-4693-9c3a-f0daadc708e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c48b1-fd72-4693-9c3a-f0daadc70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F27F8-FFA7-4DCB-8ED8-BC8C8DB93725}">
  <ds:schemaRefs>
    <ds:schemaRef ds:uri="http://schemas.microsoft.com/sharepoint/v3/contenttype/forms"/>
  </ds:schemaRefs>
</ds:datastoreItem>
</file>

<file path=customXml/itemProps2.xml><?xml version="1.0" encoding="utf-8"?>
<ds:datastoreItem xmlns:ds="http://schemas.openxmlformats.org/officeDocument/2006/customXml" ds:itemID="{3B58EAE6-ABFA-469F-895B-5D86181B3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c48b1-fd72-4693-9c3a-f0daadc70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5A3F6-4AD1-470F-ADE4-882586D40DA4}">
  <ds:schemaRefs>
    <ds:schemaRef ds:uri="http://schemas.openxmlformats.org/officeDocument/2006/bibliography"/>
  </ds:schemaRefs>
</ds:datastoreItem>
</file>

<file path=customXml/itemProps4.xml><?xml version="1.0" encoding="utf-8"?>
<ds:datastoreItem xmlns:ds="http://schemas.openxmlformats.org/officeDocument/2006/customXml" ds:itemID="{6F7DCEEA-79FF-4B11-A12A-3F5247799F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Javntekstur</Template>
  <TotalTime>34</TotalTime>
  <Pages>20</Pages>
  <Words>5902</Words>
  <Characters>36003</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Javntekstur</vt:lpstr>
    </vt:vector>
  </TitlesOfParts>
  <Company>Lógatænastan</Company>
  <LinksUpToDate>false</LinksUpToDate>
  <CharactersWithSpaces>41822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Javntekstur</dc:title>
  <dc:subject>Javntekstur</dc:subject>
  <dc:creator>Sverri Skaalum Joensen</dc:creator>
  <cp:keywords>5. útgáva - desember 2020</cp:keywords>
  <dc:description>Javntekstur 5. útgáva - desember 2020</dc:description>
  <cp:lastModifiedBy>Sverri Skaalum Joensen</cp:lastModifiedBy>
  <cp:revision>9</cp:revision>
  <cp:lastPrinted>2016-03-15T10:55:00Z</cp:lastPrinted>
  <dcterms:created xsi:type="dcterms:W3CDTF">2023-09-08T14:19:00Z</dcterms:created>
  <dcterms:modified xsi:type="dcterms:W3CDTF">2023-09-19T10:06:00Z</dcterms:modified>
  <cp:contentStatus>5. útgáva - desember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0x010100AAF26FB1BD61F245A5F8B56C0B9AFC91</vt:lpwstr>
  </property>
</Properties>
</file>