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41068B8C" w:rsidR="00E60021" w:rsidRPr="00C8383D" w:rsidRDefault="00E60021" w:rsidP="00EE0487">
      <w:pPr>
        <w:spacing w:after="0" w:line="276" w:lineRule="auto"/>
        <w:jc w:val="center"/>
        <w:rPr>
          <w:b/>
          <w:noProof/>
          <w:sz w:val="32"/>
          <w:szCs w:val="32"/>
          <w:lang w:eastAsia="en-US"/>
        </w:rPr>
      </w:pPr>
      <w:r w:rsidRPr="00C8383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18539E" w:rsidRPr="00C8383D">
        <w:rPr>
          <w:b/>
          <w:noProof/>
          <w:sz w:val="32"/>
          <w:szCs w:val="32"/>
        </w:rPr>
        <w:t>UMHVØRVISMÁLARÁÐIÐ</w:t>
      </w:r>
    </w:p>
    <w:p w14:paraId="7259A973" w14:textId="77777777" w:rsidR="00E60021" w:rsidRPr="00C8383D" w:rsidRDefault="00E60021" w:rsidP="00EE0487">
      <w:pPr>
        <w:spacing w:after="0" w:line="276" w:lineRule="auto"/>
        <w:rPr>
          <w:rStyle w:val="TypografiFed"/>
          <w:noProof/>
          <w:szCs w:val="22"/>
        </w:rPr>
      </w:pPr>
    </w:p>
    <w:p w14:paraId="74C68B3F" w14:textId="77777777" w:rsidR="00E60021" w:rsidRPr="00C8383D" w:rsidRDefault="00E60021" w:rsidP="00EE0487">
      <w:pPr>
        <w:spacing w:after="0" w:line="276" w:lineRule="auto"/>
        <w:rPr>
          <w:rStyle w:val="TypografiFed"/>
          <w:noProof/>
        </w:rPr>
      </w:pPr>
    </w:p>
    <w:tbl>
      <w:tblPr>
        <w:tblW w:w="0" w:type="auto"/>
        <w:jc w:val="right"/>
        <w:tblLook w:val="04A0" w:firstRow="1" w:lastRow="0" w:firstColumn="1" w:lastColumn="0" w:noHBand="0" w:noVBand="1"/>
      </w:tblPr>
      <w:tblGrid>
        <w:gridCol w:w="1710"/>
        <w:gridCol w:w="1629"/>
      </w:tblGrid>
      <w:tr w:rsidR="00997DB1" w:rsidRPr="00C8383D" w14:paraId="7089E789" w14:textId="77777777" w:rsidTr="00F53AFF">
        <w:trPr>
          <w:trHeight w:val="344"/>
          <w:jc w:val="right"/>
        </w:trPr>
        <w:tc>
          <w:tcPr>
            <w:tcW w:w="1710" w:type="dxa"/>
            <w:hideMark/>
          </w:tcPr>
          <w:p w14:paraId="7FD8F46E" w14:textId="77777777" w:rsidR="00997DB1" w:rsidRPr="00C8383D" w:rsidRDefault="00997DB1" w:rsidP="00EE0487">
            <w:pPr>
              <w:spacing w:after="0" w:line="276" w:lineRule="auto"/>
              <w:rPr>
                <w:noProof/>
              </w:rPr>
            </w:pPr>
            <w:r w:rsidRPr="00C8383D">
              <w:rPr>
                <w:noProof/>
              </w:rPr>
              <w:t xml:space="preserve">Dagfesting: </w:t>
            </w:r>
          </w:p>
        </w:tc>
        <w:tc>
          <w:tcPr>
            <w:tcW w:w="1629" w:type="dxa"/>
            <w:hideMark/>
          </w:tcPr>
          <w:p w14:paraId="41262C9A" w14:textId="77777777" w:rsidR="00997DB1" w:rsidRPr="00C8383D" w:rsidRDefault="00997DB1" w:rsidP="00EE0487">
            <w:pPr>
              <w:tabs>
                <w:tab w:val="center" w:pos="4513"/>
                <w:tab w:val="right" w:pos="9026"/>
              </w:tabs>
              <w:spacing w:after="0" w:line="276" w:lineRule="auto"/>
              <w:rPr>
                <w:noProof/>
              </w:rPr>
            </w:pPr>
            <w:r w:rsidRPr="00C8383D">
              <w:rPr>
                <w:noProof/>
              </w:rPr>
              <w:t>Skrivið her</w:t>
            </w:r>
          </w:p>
        </w:tc>
      </w:tr>
      <w:tr w:rsidR="00997DB1" w:rsidRPr="00C8383D" w14:paraId="013D6E86" w14:textId="77777777" w:rsidTr="00F53AFF">
        <w:trPr>
          <w:trHeight w:val="361"/>
          <w:jc w:val="right"/>
        </w:trPr>
        <w:tc>
          <w:tcPr>
            <w:tcW w:w="1710" w:type="dxa"/>
            <w:hideMark/>
          </w:tcPr>
          <w:p w14:paraId="75845991" w14:textId="77777777" w:rsidR="00997DB1" w:rsidRPr="00C8383D" w:rsidRDefault="00997DB1" w:rsidP="00EE0487">
            <w:pPr>
              <w:spacing w:after="0" w:line="276" w:lineRule="auto"/>
              <w:rPr>
                <w:noProof/>
              </w:rPr>
            </w:pPr>
            <w:r w:rsidRPr="00C8383D">
              <w:rPr>
                <w:noProof/>
              </w:rPr>
              <w:t>Mál nr.:</w:t>
            </w:r>
          </w:p>
        </w:tc>
        <w:tc>
          <w:tcPr>
            <w:tcW w:w="1629" w:type="dxa"/>
            <w:hideMark/>
          </w:tcPr>
          <w:p w14:paraId="716D17F8" w14:textId="46F8788E" w:rsidR="00997DB1" w:rsidRPr="00C8383D" w:rsidRDefault="0018539E" w:rsidP="00EE0487">
            <w:pPr>
              <w:tabs>
                <w:tab w:val="center" w:pos="4513"/>
                <w:tab w:val="right" w:pos="9026"/>
              </w:tabs>
              <w:spacing w:after="0" w:line="276" w:lineRule="auto"/>
              <w:rPr>
                <w:noProof/>
              </w:rPr>
            </w:pPr>
            <w:r w:rsidRPr="00C8383D">
              <w:rPr>
                <w:noProof/>
              </w:rPr>
              <w:t>23/02452-</w:t>
            </w:r>
            <w:r w:rsidR="00345802">
              <w:rPr>
                <w:noProof/>
              </w:rPr>
              <w:t>1</w:t>
            </w:r>
            <w:r w:rsidR="00BF01FE">
              <w:rPr>
                <w:noProof/>
              </w:rPr>
              <w:t>4</w:t>
            </w:r>
          </w:p>
        </w:tc>
      </w:tr>
      <w:tr w:rsidR="00997DB1" w:rsidRPr="00C8383D" w14:paraId="5DCF6DD6" w14:textId="77777777" w:rsidTr="00F53AFF">
        <w:trPr>
          <w:trHeight w:val="344"/>
          <w:jc w:val="right"/>
        </w:trPr>
        <w:tc>
          <w:tcPr>
            <w:tcW w:w="1710" w:type="dxa"/>
            <w:hideMark/>
          </w:tcPr>
          <w:p w14:paraId="2CC5ADAC" w14:textId="77777777" w:rsidR="00997DB1" w:rsidRPr="00C8383D" w:rsidRDefault="00997DB1" w:rsidP="00EE0487">
            <w:pPr>
              <w:spacing w:after="0" w:line="276" w:lineRule="auto"/>
              <w:rPr>
                <w:noProof/>
              </w:rPr>
            </w:pPr>
            <w:r w:rsidRPr="00C8383D">
              <w:rPr>
                <w:noProof/>
              </w:rPr>
              <w:t>Málsviðgjørt:</w:t>
            </w:r>
          </w:p>
        </w:tc>
        <w:tc>
          <w:tcPr>
            <w:tcW w:w="1629" w:type="dxa"/>
            <w:hideMark/>
          </w:tcPr>
          <w:p w14:paraId="36A472A8" w14:textId="630B730B" w:rsidR="00997DB1" w:rsidRPr="00C8383D" w:rsidRDefault="0018539E" w:rsidP="00EE0487">
            <w:pPr>
              <w:tabs>
                <w:tab w:val="center" w:pos="4513"/>
                <w:tab w:val="right" w:pos="9026"/>
              </w:tabs>
              <w:spacing w:after="0" w:line="276" w:lineRule="auto"/>
              <w:rPr>
                <w:noProof/>
              </w:rPr>
            </w:pPr>
            <w:r w:rsidRPr="00C8383D">
              <w:rPr>
                <w:noProof/>
              </w:rPr>
              <w:t>JND</w:t>
            </w:r>
          </w:p>
        </w:tc>
      </w:tr>
      <w:tr w:rsidR="00997DB1" w:rsidRPr="00C8383D" w14:paraId="28C62CC4" w14:textId="77777777" w:rsidTr="00F53AFF">
        <w:trPr>
          <w:trHeight w:val="344"/>
          <w:jc w:val="right"/>
        </w:trPr>
        <w:tc>
          <w:tcPr>
            <w:tcW w:w="1710" w:type="dxa"/>
            <w:hideMark/>
          </w:tcPr>
          <w:p w14:paraId="79B581F5" w14:textId="77777777" w:rsidR="00997DB1" w:rsidRPr="00C8383D" w:rsidRDefault="00997DB1" w:rsidP="00EE0487">
            <w:pPr>
              <w:spacing w:after="0" w:line="276" w:lineRule="auto"/>
              <w:rPr>
                <w:noProof/>
              </w:rPr>
            </w:pPr>
            <w:r w:rsidRPr="00C8383D">
              <w:rPr>
                <w:noProof/>
              </w:rPr>
              <w:t>Ummælis</w:t>
            </w:r>
            <w:r w:rsidR="007F6BA3" w:rsidRPr="00C8383D">
              <w:rPr>
                <w:noProof/>
              </w:rPr>
              <w:t>tíð</w:t>
            </w:r>
            <w:r w:rsidRPr="00C8383D">
              <w:rPr>
                <w:noProof/>
              </w:rPr>
              <w:t>:</w:t>
            </w:r>
          </w:p>
        </w:tc>
        <w:tc>
          <w:tcPr>
            <w:tcW w:w="1629" w:type="dxa"/>
            <w:hideMark/>
          </w:tcPr>
          <w:p w14:paraId="43477E54" w14:textId="77777777" w:rsidR="00997DB1" w:rsidRPr="00C8383D" w:rsidRDefault="00997DB1" w:rsidP="00EE0487">
            <w:pPr>
              <w:tabs>
                <w:tab w:val="center" w:pos="4513"/>
                <w:tab w:val="right" w:pos="9026"/>
              </w:tabs>
              <w:spacing w:after="0" w:line="276" w:lineRule="auto"/>
              <w:rPr>
                <w:noProof/>
              </w:rPr>
            </w:pPr>
            <w:r w:rsidRPr="00C8383D">
              <w:rPr>
                <w:noProof/>
              </w:rPr>
              <w:t xml:space="preserve">Skrivið </w:t>
            </w:r>
            <w:r w:rsidR="00114E89" w:rsidRPr="00C8383D">
              <w:rPr>
                <w:noProof/>
              </w:rPr>
              <w:t>frá/til</w:t>
            </w:r>
          </w:p>
        </w:tc>
      </w:tr>
      <w:tr w:rsidR="00997DB1" w:rsidRPr="00C8383D" w14:paraId="5A799CC2" w14:textId="77777777" w:rsidTr="00F53AFF">
        <w:trPr>
          <w:trHeight w:val="565"/>
          <w:jc w:val="right"/>
        </w:trPr>
        <w:tc>
          <w:tcPr>
            <w:tcW w:w="1710" w:type="dxa"/>
            <w:hideMark/>
          </w:tcPr>
          <w:p w14:paraId="55B02348" w14:textId="77777777" w:rsidR="00997DB1" w:rsidRPr="00C8383D" w:rsidRDefault="00997DB1" w:rsidP="00EE0487">
            <w:pPr>
              <w:spacing w:after="0" w:line="276" w:lineRule="auto"/>
              <w:rPr>
                <w:noProof/>
              </w:rPr>
            </w:pPr>
            <w:r w:rsidRPr="00C8383D">
              <w:rPr>
                <w:noProof/>
              </w:rPr>
              <w:t>Eftirkannað:</w:t>
            </w:r>
          </w:p>
        </w:tc>
        <w:tc>
          <w:tcPr>
            <w:tcW w:w="1629" w:type="dxa"/>
            <w:hideMark/>
          </w:tcPr>
          <w:p w14:paraId="61467751" w14:textId="77777777" w:rsidR="00997DB1" w:rsidRPr="00C8383D" w:rsidRDefault="00997DB1" w:rsidP="00EE0487">
            <w:pPr>
              <w:tabs>
                <w:tab w:val="center" w:pos="4513"/>
                <w:tab w:val="right" w:pos="9026"/>
              </w:tabs>
              <w:spacing w:after="0" w:line="276" w:lineRule="auto"/>
              <w:rPr>
                <w:noProof/>
              </w:rPr>
            </w:pPr>
            <w:r w:rsidRPr="00C8383D">
              <w:rPr>
                <w:noProof/>
              </w:rPr>
              <w:t>Lógartænastan</w:t>
            </w:r>
          </w:p>
          <w:p w14:paraId="675C496C" w14:textId="77777777" w:rsidR="00997DB1" w:rsidRPr="00C8383D" w:rsidRDefault="00997DB1" w:rsidP="00EE0487">
            <w:pPr>
              <w:tabs>
                <w:tab w:val="center" w:pos="4513"/>
                <w:tab w:val="right" w:pos="9026"/>
              </w:tabs>
              <w:spacing w:after="0" w:line="276" w:lineRule="auto"/>
              <w:rPr>
                <w:noProof/>
              </w:rPr>
            </w:pPr>
            <w:r w:rsidRPr="00C8383D">
              <w:rPr>
                <w:noProof/>
              </w:rPr>
              <w:t xml:space="preserve">dagfestir </w:t>
            </w:r>
          </w:p>
        </w:tc>
      </w:tr>
    </w:tbl>
    <w:p w14:paraId="067FA73B" w14:textId="762A57E8" w:rsidR="00E60021" w:rsidRDefault="00E60021" w:rsidP="00EE0487">
      <w:pPr>
        <w:spacing w:after="0" w:line="276" w:lineRule="auto"/>
        <w:rPr>
          <w:rFonts w:eastAsiaTheme="minorHAnsi"/>
          <w:noProof/>
          <w:lang w:eastAsia="en-US"/>
        </w:rPr>
      </w:pPr>
    </w:p>
    <w:p w14:paraId="366FAA42" w14:textId="77777777" w:rsidR="00E60021" w:rsidRPr="00C8383D" w:rsidRDefault="00E60021" w:rsidP="00EE0487">
      <w:pPr>
        <w:spacing w:after="0" w:line="276" w:lineRule="auto"/>
        <w:rPr>
          <w:rStyle w:val="TypografiFed"/>
          <w:b w:val="0"/>
          <w:noProof/>
        </w:rPr>
      </w:pPr>
    </w:p>
    <w:p w14:paraId="74E3765F" w14:textId="77777777" w:rsidR="00E60021" w:rsidRPr="00C8383D" w:rsidRDefault="00E60021" w:rsidP="00EE0487">
      <w:pPr>
        <w:spacing w:after="0" w:line="276" w:lineRule="auto"/>
        <w:jc w:val="center"/>
        <w:rPr>
          <w:b/>
          <w:noProof/>
        </w:rPr>
      </w:pPr>
      <w:bookmarkStart w:id="0" w:name="_Hlk132617520"/>
      <w:r w:rsidRPr="00C8383D">
        <w:rPr>
          <w:b/>
          <w:noProof/>
        </w:rPr>
        <w:t>Uppskot til</w:t>
      </w:r>
    </w:p>
    <w:p w14:paraId="554116E4" w14:textId="77777777" w:rsidR="00E60021" w:rsidRPr="00C8383D" w:rsidRDefault="00E60021" w:rsidP="00EE0487">
      <w:pPr>
        <w:spacing w:after="0" w:line="276" w:lineRule="auto"/>
        <w:jc w:val="center"/>
        <w:rPr>
          <w:b/>
          <w:noProof/>
        </w:rPr>
      </w:pPr>
    </w:p>
    <w:p w14:paraId="2133D4CE" w14:textId="45B17A6F" w:rsidR="0018539E" w:rsidRPr="00C8383D" w:rsidRDefault="00E60021" w:rsidP="00EE0487">
      <w:pPr>
        <w:spacing w:after="0" w:line="276" w:lineRule="auto"/>
        <w:jc w:val="center"/>
        <w:rPr>
          <w:b/>
          <w:noProof/>
        </w:rPr>
      </w:pPr>
      <w:r w:rsidRPr="00C8383D">
        <w:rPr>
          <w:b/>
          <w:noProof/>
        </w:rPr>
        <w:t xml:space="preserve">Løgtingslóg um broyting í løgtingslóg </w:t>
      </w:r>
      <w:r w:rsidR="0018539E" w:rsidRPr="00C8383D">
        <w:rPr>
          <w:b/>
          <w:noProof/>
        </w:rPr>
        <w:t xml:space="preserve">um trygging móti avleiðingunum av arbeiðsskaða </w:t>
      </w:r>
      <w:r w:rsidR="0018539E" w:rsidRPr="0018539E">
        <w:rPr>
          <w:b/>
          <w:noProof/>
        </w:rPr>
        <w:t>(Arbeiðsskaðatryggingarlógin)</w:t>
      </w:r>
    </w:p>
    <w:p w14:paraId="44B2CAA4" w14:textId="77777777" w:rsidR="00B23B76" w:rsidRPr="0018539E" w:rsidRDefault="00B23B76" w:rsidP="00EE0487">
      <w:pPr>
        <w:spacing w:after="0" w:line="276" w:lineRule="auto"/>
        <w:jc w:val="center"/>
        <w:rPr>
          <w:b/>
          <w:noProof/>
        </w:rPr>
      </w:pPr>
    </w:p>
    <w:p w14:paraId="602D8922" w14:textId="621747E8" w:rsidR="00E60021" w:rsidRPr="00C8383D" w:rsidRDefault="00E60021" w:rsidP="00EE0487">
      <w:pPr>
        <w:spacing w:after="0" w:line="276" w:lineRule="auto"/>
        <w:jc w:val="center"/>
        <w:rPr>
          <w:noProof/>
        </w:rPr>
      </w:pPr>
      <w:r w:rsidRPr="00C8383D">
        <w:rPr>
          <w:noProof/>
        </w:rPr>
        <w:t>(</w:t>
      </w:r>
      <w:r w:rsidR="00F6035E" w:rsidRPr="00F6035E">
        <w:rPr>
          <w:noProof/>
        </w:rPr>
        <w:t>Javning av framhaldandi árligari veiting av endurgjaldi fyri mist vinnuføri</w:t>
      </w:r>
      <w:r w:rsidR="00F6035E">
        <w:rPr>
          <w:noProof/>
        </w:rPr>
        <w:t>,</w:t>
      </w:r>
      <w:r w:rsidR="00F6035E" w:rsidRPr="00F6035E">
        <w:rPr>
          <w:noProof/>
        </w:rPr>
        <w:t xml:space="preserve"> og áseting um</w:t>
      </w:r>
      <w:r w:rsidR="00F6035E">
        <w:rPr>
          <w:noProof/>
        </w:rPr>
        <w:t>,</w:t>
      </w:r>
      <w:r w:rsidR="00F6035E" w:rsidRPr="00F6035E">
        <w:rPr>
          <w:noProof/>
        </w:rPr>
        <w:t xml:space="preserve"> at endurgjaldsveiting í seinasta lagi endar við fólkapensjónsaldur</w:t>
      </w:r>
      <w:r w:rsidRPr="00C8383D">
        <w:rPr>
          <w:noProof/>
        </w:rPr>
        <w:t>)</w:t>
      </w:r>
    </w:p>
    <w:p w14:paraId="4DF2BED5" w14:textId="77777777" w:rsidR="00E60021" w:rsidRPr="00C8383D" w:rsidRDefault="00E60021" w:rsidP="00EE0487">
      <w:pPr>
        <w:spacing w:after="0" w:line="276" w:lineRule="auto"/>
        <w:jc w:val="center"/>
        <w:rPr>
          <w:noProof/>
        </w:rPr>
      </w:pPr>
    </w:p>
    <w:p w14:paraId="4D42C032" w14:textId="77777777" w:rsidR="00E60021" w:rsidRPr="00C8383D" w:rsidRDefault="00E60021" w:rsidP="00EE0487">
      <w:pPr>
        <w:spacing w:after="0" w:line="276" w:lineRule="auto"/>
        <w:rPr>
          <w:noProof/>
        </w:rPr>
      </w:pPr>
    </w:p>
    <w:p w14:paraId="14D40C51" w14:textId="77777777" w:rsidR="00E60021" w:rsidRPr="00C8383D" w:rsidRDefault="00E60021" w:rsidP="00EE0487">
      <w:pPr>
        <w:spacing w:after="0" w:line="276" w:lineRule="auto"/>
        <w:rPr>
          <w:b/>
          <w:noProof/>
        </w:rPr>
        <w:sectPr w:rsidR="00E60021" w:rsidRPr="00C8383D" w:rsidSect="00E60021">
          <w:footerReference w:type="default" r:id="rId9"/>
          <w:type w:val="continuous"/>
          <w:pgSz w:w="11906" w:h="16838"/>
          <w:pgMar w:top="1440" w:right="1440" w:bottom="1440" w:left="1440" w:header="709" w:footer="709" w:gutter="0"/>
          <w:cols w:space="720"/>
        </w:sectPr>
      </w:pPr>
    </w:p>
    <w:p w14:paraId="25E94436" w14:textId="77777777" w:rsidR="00E60021" w:rsidRPr="00C8383D" w:rsidRDefault="00E60021" w:rsidP="00EE0487">
      <w:pPr>
        <w:spacing w:after="0" w:line="276" w:lineRule="auto"/>
        <w:jc w:val="center"/>
        <w:rPr>
          <w:b/>
          <w:noProof/>
        </w:rPr>
      </w:pPr>
      <w:r w:rsidRPr="00C8383D">
        <w:rPr>
          <w:b/>
          <w:noProof/>
        </w:rPr>
        <w:t>§ 1</w:t>
      </w:r>
    </w:p>
    <w:p w14:paraId="00EA9BB8" w14:textId="77777777" w:rsidR="00E60021" w:rsidRPr="00C8383D" w:rsidRDefault="00E60021" w:rsidP="00EE0487">
      <w:pPr>
        <w:spacing w:after="0" w:line="276" w:lineRule="auto"/>
        <w:rPr>
          <w:noProof/>
        </w:rPr>
      </w:pPr>
    </w:p>
    <w:p w14:paraId="43649BFD" w14:textId="45D7F371" w:rsidR="00E60021" w:rsidRPr="00C8383D" w:rsidRDefault="00E60021" w:rsidP="00EE0487">
      <w:pPr>
        <w:spacing w:after="0" w:line="276" w:lineRule="auto"/>
        <w:rPr>
          <w:noProof/>
        </w:rPr>
      </w:pPr>
      <w:r w:rsidRPr="00C8383D">
        <w:rPr>
          <w:noProof/>
        </w:rPr>
        <w:t xml:space="preserve">Í </w:t>
      </w:r>
      <w:r w:rsidR="0018539E" w:rsidRPr="00C8383D">
        <w:rPr>
          <w:noProof/>
        </w:rPr>
        <w:t>løgtingslóg nr. 67 frá 25. mai 2009 um trygging móti avleiðingunum av arbeiðsskaða</w:t>
      </w:r>
      <w:r w:rsidR="0082566C">
        <w:rPr>
          <w:noProof/>
        </w:rPr>
        <w:t xml:space="preserve"> (</w:t>
      </w:r>
      <w:r w:rsidR="00ED4013">
        <w:rPr>
          <w:noProof/>
        </w:rPr>
        <w:t>Arbeiðsskaðatrygginga</w:t>
      </w:r>
      <w:r w:rsidR="0082566C">
        <w:rPr>
          <w:noProof/>
        </w:rPr>
        <w:t>rlógin)</w:t>
      </w:r>
      <w:r w:rsidR="0018539E" w:rsidRPr="00C8383D">
        <w:rPr>
          <w:noProof/>
        </w:rPr>
        <w:t xml:space="preserve">, sum broytt við løgtingslóg nr. </w:t>
      </w:r>
      <w:r w:rsidR="0082566C">
        <w:rPr>
          <w:noProof/>
        </w:rPr>
        <w:t xml:space="preserve">48 frá 8. mai 2012 og løgtingslóg nr. </w:t>
      </w:r>
      <w:r w:rsidR="0018539E" w:rsidRPr="00C8383D">
        <w:rPr>
          <w:noProof/>
        </w:rPr>
        <w:t>51 frá 12. mai 2015</w:t>
      </w:r>
      <w:r w:rsidRPr="00C8383D">
        <w:rPr>
          <w:noProof/>
        </w:rPr>
        <w:t>, verða gjørdar hesar broytingar:</w:t>
      </w:r>
    </w:p>
    <w:p w14:paraId="05C110F5" w14:textId="77777777" w:rsidR="00E60021" w:rsidRPr="00C8383D" w:rsidRDefault="00E60021" w:rsidP="00EE0487">
      <w:pPr>
        <w:spacing w:after="0" w:line="276" w:lineRule="auto"/>
        <w:rPr>
          <w:noProof/>
        </w:rPr>
      </w:pPr>
    </w:p>
    <w:p w14:paraId="3BFE2B41" w14:textId="714FC2E8" w:rsidR="009B5CBC" w:rsidRDefault="009B5CBC" w:rsidP="00EE0487">
      <w:pPr>
        <w:pStyle w:val="ListParagraph"/>
        <w:numPr>
          <w:ilvl w:val="0"/>
          <w:numId w:val="1"/>
        </w:numPr>
        <w:spacing w:after="0" w:line="276" w:lineRule="auto"/>
        <w:rPr>
          <w:noProof/>
        </w:rPr>
      </w:pPr>
      <w:r>
        <w:rPr>
          <w:noProof/>
        </w:rPr>
        <w:t>Í § 43, stk. 3 verður aftan á “tikin” sett: “, sbr. tó stk. 4”.</w:t>
      </w:r>
    </w:p>
    <w:p w14:paraId="1BF5430F" w14:textId="77777777" w:rsidR="009B5CBC" w:rsidRDefault="009B5CBC" w:rsidP="005F47FE">
      <w:pPr>
        <w:pStyle w:val="ListParagraph"/>
        <w:spacing w:after="0" w:line="276" w:lineRule="auto"/>
        <w:ind w:left="360"/>
        <w:rPr>
          <w:noProof/>
        </w:rPr>
      </w:pPr>
    </w:p>
    <w:p w14:paraId="4807AE7F" w14:textId="0619594D" w:rsidR="009B5CBC" w:rsidRDefault="00AD28FC" w:rsidP="005F47FE">
      <w:pPr>
        <w:pStyle w:val="ListParagraph"/>
        <w:numPr>
          <w:ilvl w:val="0"/>
          <w:numId w:val="1"/>
        </w:numPr>
        <w:spacing w:after="0" w:line="276" w:lineRule="auto"/>
        <w:rPr>
          <w:noProof/>
        </w:rPr>
      </w:pPr>
      <w:r>
        <w:rPr>
          <w:noProof/>
        </w:rPr>
        <w:t xml:space="preserve">Í § 43 verður sum stk. 4 sett: </w:t>
      </w:r>
    </w:p>
    <w:p w14:paraId="3ECCC538" w14:textId="1C0A59F9" w:rsidR="00AD28FC" w:rsidRDefault="00AD28FC" w:rsidP="005F47FE">
      <w:pPr>
        <w:pStyle w:val="ListParagraph"/>
        <w:spacing w:after="0" w:line="276" w:lineRule="auto"/>
        <w:ind w:left="360"/>
        <w:rPr>
          <w:noProof/>
        </w:rPr>
      </w:pPr>
      <w:r>
        <w:rPr>
          <w:noProof/>
        </w:rPr>
        <w:t>“</w:t>
      </w:r>
      <w:r>
        <w:rPr>
          <w:i/>
          <w:iCs/>
          <w:noProof/>
        </w:rPr>
        <w:t>Stk 4.</w:t>
      </w:r>
      <w:r>
        <w:rPr>
          <w:noProof/>
        </w:rPr>
        <w:t xml:space="preserve"> Endurgjald, ið verður veitt sum framhaldandi árlig veiting sbrt. § 50</w:t>
      </w:r>
      <w:r w:rsidR="00CB2470">
        <w:rPr>
          <w:noProof/>
        </w:rPr>
        <w:t>,</w:t>
      </w:r>
      <w:r>
        <w:rPr>
          <w:noProof/>
        </w:rPr>
        <w:t xml:space="preserve"> verður javnað </w:t>
      </w:r>
      <w:r w:rsidRPr="00AD28FC">
        <w:rPr>
          <w:noProof/>
        </w:rPr>
        <w:t xml:space="preserve">av landsstýrismanninum eftir tilmæli frá </w:t>
      </w:r>
      <w:r w:rsidRPr="00AD28FC">
        <w:rPr>
          <w:noProof/>
        </w:rPr>
        <w:t xml:space="preserve">Vanlukkutryggingarráðnum </w:t>
      </w:r>
      <w:r w:rsidR="005F47FE">
        <w:rPr>
          <w:noProof/>
        </w:rPr>
        <w:t>eftir somu reglum sum ásett í stk. 1 og 2.</w:t>
      </w:r>
      <w:r>
        <w:rPr>
          <w:noProof/>
        </w:rPr>
        <w:t>”</w:t>
      </w:r>
    </w:p>
    <w:p w14:paraId="1C786291" w14:textId="77777777" w:rsidR="00AD28FC" w:rsidRDefault="00AD28FC" w:rsidP="00F62748">
      <w:pPr>
        <w:pStyle w:val="ListParagraph"/>
        <w:spacing w:after="0" w:line="276" w:lineRule="auto"/>
        <w:ind w:left="360"/>
        <w:rPr>
          <w:noProof/>
        </w:rPr>
      </w:pPr>
    </w:p>
    <w:p w14:paraId="05E76831" w14:textId="3E0FB1A0" w:rsidR="003A4EEF" w:rsidRDefault="003A4EEF" w:rsidP="00EE0487">
      <w:pPr>
        <w:pStyle w:val="ListParagraph"/>
        <w:numPr>
          <w:ilvl w:val="0"/>
          <w:numId w:val="1"/>
        </w:numPr>
        <w:spacing w:after="0" w:line="276" w:lineRule="auto"/>
        <w:rPr>
          <w:noProof/>
        </w:rPr>
      </w:pPr>
      <w:r>
        <w:rPr>
          <w:noProof/>
        </w:rPr>
        <w:t>Í § 50 verður stk</w:t>
      </w:r>
      <w:r w:rsidR="00C5553D">
        <w:rPr>
          <w:noProof/>
        </w:rPr>
        <w:t>. 3 orðað soleiðis: “</w:t>
      </w:r>
      <w:r w:rsidR="00C5553D">
        <w:rPr>
          <w:i/>
          <w:iCs/>
          <w:noProof/>
        </w:rPr>
        <w:t xml:space="preserve">Stk. 3. </w:t>
      </w:r>
      <w:r w:rsidR="00C5553D" w:rsidRPr="00AD28FC">
        <w:rPr>
          <w:noProof/>
        </w:rPr>
        <w:t xml:space="preserve">Framhaldandi endurgjaldsveitingin heldur uppat seinast í mánaðinum, tá tryggjaði </w:t>
      </w:r>
      <w:r w:rsidR="002325BE">
        <w:rPr>
          <w:noProof/>
        </w:rPr>
        <w:t>n</w:t>
      </w:r>
      <w:r w:rsidR="00C5553D">
        <w:rPr>
          <w:noProof/>
        </w:rPr>
        <w:t>ær fólkapensjón</w:t>
      </w:r>
      <w:r w:rsidR="002325BE">
        <w:rPr>
          <w:noProof/>
        </w:rPr>
        <w:t xml:space="preserve">saldur </w:t>
      </w:r>
      <w:r w:rsidR="002325BE" w:rsidRPr="002325BE">
        <w:rPr>
          <w:noProof/>
        </w:rPr>
        <w:t>sbrt. løgtingslóg um almannapensjónir o.a.</w:t>
      </w:r>
      <w:r w:rsidR="00C5553D" w:rsidRPr="00AD28FC">
        <w:rPr>
          <w:noProof/>
        </w:rPr>
        <w:t xml:space="preserve">, og tryggjaði fær tá í staðin eitt endaligt endurgjald fyri mist vinnuføri, ið svarar til </w:t>
      </w:r>
      <w:r w:rsidR="004F2F95">
        <w:rPr>
          <w:noProof/>
        </w:rPr>
        <w:t>tvær</w:t>
      </w:r>
      <w:r w:rsidR="00C5553D" w:rsidRPr="00AD28FC">
        <w:rPr>
          <w:noProof/>
        </w:rPr>
        <w:t xml:space="preserve"> ferðir ta árligu endurgjaldsveitingina eftir § 49. </w:t>
      </w:r>
      <w:r w:rsidR="00C5553D">
        <w:rPr>
          <w:noProof/>
        </w:rPr>
        <w:t xml:space="preserve">Hevur tryggjaði </w:t>
      </w:r>
      <w:r w:rsidR="00C5553D" w:rsidRPr="00AD28FC">
        <w:rPr>
          <w:noProof/>
        </w:rPr>
        <w:t xml:space="preserve">longu </w:t>
      </w:r>
      <w:r w:rsidR="002325BE">
        <w:rPr>
          <w:noProof/>
        </w:rPr>
        <w:t xml:space="preserve">nátt </w:t>
      </w:r>
      <w:r w:rsidR="002325BE" w:rsidRPr="002325BE">
        <w:rPr>
          <w:noProof/>
        </w:rPr>
        <w:t>fólkapensjónsaldur sbrt. løgtingslóg um almannapensjónir o.a.</w:t>
      </w:r>
      <w:r w:rsidR="00C5553D" w:rsidRPr="00AD28FC">
        <w:rPr>
          <w:noProof/>
        </w:rPr>
        <w:t xml:space="preserve">, tá avgerðin um at veita honum endurgjald fyri mist vinnuføri verður tikin, verður endaliga </w:t>
      </w:r>
      <w:r w:rsidR="00C5553D" w:rsidRPr="00AD28FC">
        <w:rPr>
          <w:noProof/>
        </w:rPr>
        <w:lastRenderedPageBreak/>
        <w:t xml:space="preserve">veitingin somuleiðis </w:t>
      </w:r>
      <w:r w:rsidR="004F2F95">
        <w:rPr>
          <w:noProof/>
        </w:rPr>
        <w:t>tvær</w:t>
      </w:r>
      <w:r w:rsidR="00C5553D" w:rsidRPr="00AD28FC">
        <w:rPr>
          <w:noProof/>
        </w:rPr>
        <w:t xml:space="preserve"> ferðir árliga gjaldið, roknað </w:t>
      </w:r>
      <w:r w:rsidR="001261E6" w:rsidRPr="00AD28FC">
        <w:rPr>
          <w:noProof/>
        </w:rPr>
        <w:t>s</w:t>
      </w:r>
      <w:r w:rsidR="001261E6">
        <w:rPr>
          <w:noProof/>
        </w:rPr>
        <w:t>brt.</w:t>
      </w:r>
      <w:r w:rsidR="00C5553D" w:rsidRPr="00AD28FC">
        <w:rPr>
          <w:noProof/>
        </w:rPr>
        <w:t xml:space="preserve"> § 49.</w:t>
      </w:r>
      <w:r w:rsidR="00C5553D">
        <w:rPr>
          <w:noProof/>
        </w:rPr>
        <w:t>”</w:t>
      </w:r>
    </w:p>
    <w:p w14:paraId="6D851DCB" w14:textId="77777777" w:rsidR="00AD28FC" w:rsidRDefault="00AD28FC" w:rsidP="00F62748">
      <w:pPr>
        <w:pStyle w:val="ListParagraph"/>
        <w:spacing w:after="0" w:line="276" w:lineRule="auto"/>
        <w:ind w:left="360"/>
        <w:rPr>
          <w:noProof/>
        </w:rPr>
      </w:pPr>
    </w:p>
    <w:p w14:paraId="21704438" w14:textId="23A16D23" w:rsidR="005F47FE" w:rsidRDefault="0018539E" w:rsidP="005F47FE">
      <w:pPr>
        <w:pStyle w:val="ListParagraph"/>
        <w:numPr>
          <w:ilvl w:val="0"/>
          <w:numId w:val="1"/>
        </w:numPr>
        <w:spacing w:after="0" w:line="276" w:lineRule="auto"/>
        <w:rPr>
          <w:noProof/>
        </w:rPr>
      </w:pPr>
      <w:r w:rsidRPr="00C8383D">
        <w:rPr>
          <w:noProof/>
        </w:rPr>
        <w:t xml:space="preserve">Í § 50 verður </w:t>
      </w:r>
      <w:r w:rsidR="002434BA" w:rsidRPr="00C8383D">
        <w:rPr>
          <w:noProof/>
        </w:rPr>
        <w:t xml:space="preserve">sum stk. 4 </w:t>
      </w:r>
      <w:r w:rsidRPr="00C8383D">
        <w:rPr>
          <w:noProof/>
        </w:rPr>
        <w:t>sett</w:t>
      </w:r>
      <w:r w:rsidR="00A520AD" w:rsidRPr="00C8383D">
        <w:rPr>
          <w:noProof/>
        </w:rPr>
        <w:t xml:space="preserve">: </w:t>
      </w:r>
    </w:p>
    <w:p w14:paraId="56C65DC1" w14:textId="4CC6E235" w:rsidR="00E60021" w:rsidRPr="00F62748" w:rsidRDefault="002434BA" w:rsidP="00373A12">
      <w:pPr>
        <w:pStyle w:val="ListParagraph"/>
        <w:spacing w:after="0" w:line="276" w:lineRule="auto"/>
        <w:ind w:left="360"/>
        <w:rPr>
          <w:noProof/>
        </w:rPr>
      </w:pPr>
      <w:r w:rsidRPr="00C8383D">
        <w:rPr>
          <w:noProof/>
        </w:rPr>
        <w:t>“</w:t>
      </w:r>
      <w:r w:rsidRPr="00C8383D">
        <w:rPr>
          <w:i/>
          <w:iCs/>
          <w:noProof/>
        </w:rPr>
        <w:t>Stk. 4.</w:t>
      </w:r>
      <w:r w:rsidRPr="00C8383D">
        <w:rPr>
          <w:noProof/>
        </w:rPr>
        <w:t xml:space="preserve"> </w:t>
      </w:r>
      <w:r w:rsidRPr="00C8383D">
        <w:rPr>
          <w:noProof/>
          <w:color w:val="000000"/>
          <w:shd w:val="clear" w:color="auto" w:fill="FFFFFF"/>
        </w:rPr>
        <w:t xml:space="preserve">Endurgjald fyri mist vinnuføri, ið verður veitt sum framhaldandi árlig veiting </w:t>
      </w:r>
      <w:r w:rsidR="001261E6" w:rsidRPr="00C8383D">
        <w:rPr>
          <w:noProof/>
          <w:color w:val="000000"/>
          <w:shd w:val="clear" w:color="auto" w:fill="FFFFFF"/>
        </w:rPr>
        <w:t>s</w:t>
      </w:r>
      <w:r w:rsidR="001261E6">
        <w:rPr>
          <w:noProof/>
          <w:color w:val="000000"/>
          <w:shd w:val="clear" w:color="auto" w:fill="FFFFFF"/>
        </w:rPr>
        <w:t>brt.</w:t>
      </w:r>
      <w:r w:rsidR="001261E6" w:rsidRPr="00C8383D">
        <w:rPr>
          <w:noProof/>
          <w:color w:val="000000"/>
          <w:shd w:val="clear" w:color="auto" w:fill="FFFFFF"/>
        </w:rPr>
        <w:t xml:space="preserve"> </w:t>
      </w:r>
      <w:r w:rsidRPr="00C8383D">
        <w:rPr>
          <w:noProof/>
          <w:color w:val="000000"/>
          <w:shd w:val="clear" w:color="auto" w:fill="FFFFFF"/>
        </w:rPr>
        <w:t xml:space="preserve">stk. 1, verður </w:t>
      </w:r>
      <w:r w:rsidR="00387EFF" w:rsidRPr="00C8383D">
        <w:rPr>
          <w:noProof/>
          <w:color w:val="000000"/>
          <w:shd w:val="clear" w:color="auto" w:fill="FFFFFF"/>
        </w:rPr>
        <w:t xml:space="preserve">javnað </w:t>
      </w:r>
      <w:r w:rsidR="000D7471">
        <w:rPr>
          <w:noProof/>
          <w:color w:val="000000"/>
          <w:shd w:val="clear" w:color="auto" w:fill="FFFFFF"/>
        </w:rPr>
        <w:t xml:space="preserve">sbrt. </w:t>
      </w:r>
      <w:r w:rsidRPr="00C8383D">
        <w:rPr>
          <w:noProof/>
          <w:color w:val="000000"/>
          <w:shd w:val="clear" w:color="auto" w:fill="FFFFFF"/>
        </w:rPr>
        <w:t>§ 43</w:t>
      </w:r>
      <w:r w:rsidR="00387EFF" w:rsidRPr="00C8383D">
        <w:rPr>
          <w:noProof/>
          <w:color w:val="000000"/>
          <w:shd w:val="clear" w:color="auto" w:fill="FFFFFF"/>
        </w:rPr>
        <w:t>, stk</w:t>
      </w:r>
      <w:r w:rsidR="000D7471">
        <w:rPr>
          <w:noProof/>
          <w:color w:val="000000"/>
          <w:shd w:val="clear" w:color="auto" w:fill="FFFFFF"/>
        </w:rPr>
        <w:t>.</w:t>
      </w:r>
      <w:r w:rsidR="002161D6">
        <w:rPr>
          <w:noProof/>
          <w:color w:val="000000"/>
          <w:shd w:val="clear" w:color="auto" w:fill="FFFFFF"/>
        </w:rPr>
        <w:t xml:space="preserve"> </w:t>
      </w:r>
      <w:r w:rsidR="000D7471">
        <w:rPr>
          <w:noProof/>
          <w:color w:val="000000"/>
          <w:shd w:val="clear" w:color="auto" w:fill="FFFFFF"/>
        </w:rPr>
        <w:t>4</w:t>
      </w:r>
      <w:r w:rsidR="00387EFF" w:rsidRPr="00C8383D">
        <w:rPr>
          <w:noProof/>
          <w:color w:val="000000"/>
          <w:shd w:val="clear" w:color="auto" w:fill="FFFFFF"/>
        </w:rPr>
        <w:t>.</w:t>
      </w:r>
      <w:r w:rsidRPr="00C8383D">
        <w:rPr>
          <w:noProof/>
          <w:color w:val="000000"/>
          <w:shd w:val="clear" w:color="auto" w:fill="FFFFFF"/>
        </w:rPr>
        <w:t>”</w:t>
      </w:r>
    </w:p>
    <w:p w14:paraId="3FBD4568" w14:textId="77777777" w:rsidR="00AD28FC" w:rsidRPr="00AD28FC" w:rsidRDefault="00AD28FC" w:rsidP="00F62748">
      <w:pPr>
        <w:pStyle w:val="ListParagraph"/>
        <w:spacing w:after="0" w:line="276" w:lineRule="auto"/>
        <w:ind w:left="360"/>
        <w:rPr>
          <w:noProof/>
        </w:rPr>
      </w:pPr>
    </w:p>
    <w:p w14:paraId="67AEBBB0" w14:textId="77777777" w:rsidR="005F47FE" w:rsidRDefault="00C5553D" w:rsidP="005F47FE">
      <w:pPr>
        <w:pStyle w:val="ListParagraph"/>
        <w:numPr>
          <w:ilvl w:val="0"/>
          <w:numId w:val="1"/>
        </w:numPr>
        <w:spacing w:after="0" w:line="276" w:lineRule="auto"/>
        <w:rPr>
          <w:noProof/>
        </w:rPr>
      </w:pPr>
      <w:r>
        <w:rPr>
          <w:noProof/>
        </w:rPr>
        <w:t xml:space="preserve">§ 66 verður orðað soleiðis: </w:t>
      </w:r>
    </w:p>
    <w:p w14:paraId="38A29949" w14:textId="768AD24C" w:rsidR="00C5553D" w:rsidRPr="00C8383D" w:rsidRDefault="00C5553D" w:rsidP="005F47FE">
      <w:pPr>
        <w:pStyle w:val="ListParagraph"/>
        <w:spacing w:after="0" w:line="276" w:lineRule="auto"/>
        <w:ind w:left="360"/>
        <w:rPr>
          <w:noProof/>
        </w:rPr>
      </w:pPr>
      <w:r>
        <w:rPr>
          <w:noProof/>
        </w:rPr>
        <w:t>“</w:t>
      </w:r>
      <w:r w:rsidRPr="005F47FE">
        <w:rPr>
          <w:b/>
          <w:bCs/>
          <w:noProof/>
        </w:rPr>
        <w:t>§ 66.</w:t>
      </w:r>
      <w:r>
        <w:rPr>
          <w:noProof/>
        </w:rPr>
        <w:t xml:space="preserve"> </w:t>
      </w:r>
      <w:r w:rsidRPr="00C5553D">
        <w:rPr>
          <w:noProof/>
        </w:rPr>
        <w:t xml:space="preserve">Endurgjaldið fyri miss av uppihaldara heldur uppat seinast í tí mánaðinum, at tann, ið hevur rætt til veitingina, </w:t>
      </w:r>
      <w:r w:rsidR="002325BE" w:rsidRPr="002325BE">
        <w:rPr>
          <w:noProof/>
        </w:rPr>
        <w:t>nær fólkapensjónsaldur sbrt. løgtingslóg um almannapensjónir o.a.</w:t>
      </w:r>
      <w:r w:rsidRPr="00C5553D">
        <w:rPr>
          <w:noProof/>
        </w:rPr>
        <w:t xml:space="preserve">, og veitt verður tá eitt endaligt endurgjald, ið samsvarar við </w:t>
      </w:r>
      <w:r w:rsidR="004F2F95">
        <w:rPr>
          <w:noProof/>
        </w:rPr>
        <w:t>tvær</w:t>
      </w:r>
      <w:r w:rsidRPr="00C5553D">
        <w:rPr>
          <w:noProof/>
        </w:rPr>
        <w:t xml:space="preserve"> ferðir tað árliga endurgjaldið sambært § 64, stk. 1.</w:t>
      </w:r>
      <w:r w:rsidRPr="005F47FE">
        <w:rPr>
          <w:i/>
          <w:iCs/>
          <w:noProof/>
        </w:rPr>
        <w:t> </w:t>
      </w:r>
      <w:r w:rsidRPr="00C5553D">
        <w:rPr>
          <w:noProof/>
        </w:rPr>
        <w:t>Sama er galdandi, um viðkomandi</w:t>
      </w:r>
      <w:r w:rsidR="004F2F95">
        <w:rPr>
          <w:noProof/>
        </w:rPr>
        <w:t>,</w:t>
      </w:r>
      <w:r w:rsidR="002325BE" w:rsidRPr="002325BE">
        <w:t xml:space="preserve"> </w:t>
      </w:r>
      <w:r w:rsidR="002325BE" w:rsidRPr="002325BE">
        <w:rPr>
          <w:noProof/>
        </w:rPr>
        <w:t>ið hevur rætt til veitingina,</w:t>
      </w:r>
      <w:r w:rsidRPr="00C5553D">
        <w:rPr>
          <w:noProof/>
        </w:rPr>
        <w:t xml:space="preserve"> longu </w:t>
      </w:r>
      <w:r>
        <w:rPr>
          <w:noProof/>
        </w:rPr>
        <w:t xml:space="preserve">hevði rætt til </w:t>
      </w:r>
      <w:r>
        <w:rPr>
          <w:noProof/>
        </w:rPr>
        <w:t>fólkapensjón</w:t>
      </w:r>
      <w:r w:rsidRPr="00C5553D">
        <w:rPr>
          <w:noProof/>
        </w:rPr>
        <w:t>, tá tryggjaði læt lív orsakað av arbeiðsskaðanum ella av vinnusjúkuni sbrt. § 10, stk. 1.</w:t>
      </w:r>
      <w:r>
        <w:rPr>
          <w:noProof/>
        </w:rPr>
        <w:t>”</w:t>
      </w:r>
    </w:p>
    <w:p w14:paraId="13D5D5FA" w14:textId="77777777" w:rsidR="00E60021" w:rsidRPr="00C8383D" w:rsidRDefault="00E60021" w:rsidP="00EE0487">
      <w:pPr>
        <w:spacing w:after="0" w:line="276" w:lineRule="auto"/>
        <w:rPr>
          <w:noProof/>
        </w:rPr>
      </w:pPr>
    </w:p>
    <w:p w14:paraId="005998E2" w14:textId="77777777" w:rsidR="00AD28FC" w:rsidRDefault="00AD28FC" w:rsidP="00EE0487">
      <w:pPr>
        <w:spacing w:after="0" w:line="276" w:lineRule="auto"/>
        <w:jc w:val="center"/>
        <w:rPr>
          <w:b/>
          <w:noProof/>
        </w:rPr>
      </w:pPr>
    </w:p>
    <w:p w14:paraId="0D7E98A3" w14:textId="065B8713" w:rsidR="00E60021" w:rsidRPr="00C8383D" w:rsidRDefault="00E60021" w:rsidP="00EE0487">
      <w:pPr>
        <w:spacing w:after="0" w:line="276" w:lineRule="auto"/>
        <w:jc w:val="center"/>
        <w:rPr>
          <w:b/>
          <w:noProof/>
        </w:rPr>
      </w:pPr>
      <w:r w:rsidRPr="00C8383D">
        <w:rPr>
          <w:b/>
          <w:noProof/>
        </w:rPr>
        <w:t>§ 2</w:t>
      </w:r>
    </w:p>
    <w:p w14:paraId="4CB25D43" w14:textId="77777777" w:rsidR="00E60021" w:rsidRPr="00C8383D" w:rsidRDefault="00E60021" w:rsidP="00EE0487">
      <w:pPr>
        <w:spacing w:after="0" w:line="276" w:lineRule="auto"/>
        <w:rPr>
          <w:noProof/>
        </w:rPr>
      </w:pPr>
    </w:p>
    <w:p w14:paraId="63BA2853" w14:textId="284D71B3" w:rsidR="002325BE" w:rsidRDefault="004F2F95" w:rsidP="00C26A8A">
      <w:pPr>
        <w:spacing w:after="0" w:line="276" w:lineRule="auto"/>
        <w:rPr>
          <w:noProof/>
        </w:rPr>
      </w:pPr>
      <w:r>
        <w:rPr>
          <w:i/>
          <w:iCs/>
          <w:noProof/>
        </w:rPr>
        <w:t xml:space="preserve">Stk. 1. </w:t>
      </w:r>
      <w:r w:rsidR="00E60021" w:rsidRPr="00C8383D">
        <w:rPr>
          <w:noProof/>
        </w:rPr>
        <w:t>Henda løgtingslóg kemur í gildi dagin eftir, at hon er kunngjørd</w:t>
      </w:r>
      <w:r w:rsidR="002325BE">
        <w:rPr>
          <w:noProof/>
        </w:rPr>
        <w:t xml:space="preserve">, og hevur virknað frá fyrstu ferð endurgjaldsupphæddirnar </w:t>
      </w:r>
      <w:r w:rsidR="00D65DF8">
        <w:rPr>
          <w:noProof/>
        </w:rPr>
        <w:t xml:space="preserve">sbrt. </w:t>
      </w:r>
      <w:r w:rsidR="002325BE">
        <w:rPr>
          <w:noProof/>
        </w:rPr>
        <w:t>§ 43 verða javnaðar eftir gildiskomudagin</w:t>
      </w:r>
      <w:r w:rsidR="00E60021" w:rsidRPr="00C8383D">
        <w:rPr>
          <w:noProof/>
        </w:rPr>
        <w:t>.</w:t>
      </w:r>
    </w:p>
    <w:p w14:paraId="212D182E" w14:textId="600C458A" w:rsidR="002325BE" w:rsidRPr="00680FEB" w:rsidRDefault="002325BE" w:rsidP="00C26A8A">
      <w:pPr>
        <w:spacing w:after="0" w:line="276" w:lineRule="auto"/>
        <w:rPr>
          <w:i/>
          <w:iCs/>
          <w:noProof/>
        </w:rPr>
        <w:sectPr w:rsidR="002325BE" w:rsidRPr="00680FEB">
          <w:type w:val="continuous"/>
          <w:pgSz w:w="11906" w:h="16838"/>
          <w:pgMar w:top="1440" w:right="1440" w:bottom="1440" w:left="1440" w:header="709" w:footer="709" w:gutter="0"/>
          <w:cols w:num="2" w:space="708"/>
        </w:sectPr>
      </w:pPr>
      <w:r>
        <w:rPr>
          <w:i/>
          <w:iCs/>
          <w:noProof/>
        </w:rPr>
        <w:t xml:space="preserve">Stk. 2. </w:t>
      </w:r>
      <w:r>
        <w:rPr>
          <w:noProof/>
        </w:rPr>
        <w:t xml:space="preserve">Lógin er galdandi fyri øll endurgjøld, ið verða veitt sum framhaldandi </w:t>
      </w:r>
      <w:r w:rsidR="00522182">
        <w:rPr>
          <w:noProof/>
        </w:rPr>
        <w:t xml:space="preserve">árlig </w:t>
      </w:r>
      <w:r>
        <w:rPr>
          <w:noProof/>
        </w:rPr>
        <w:t xml:space="preserve">veiting sbrt. § 50, </w:t>
      </w:r>
      <w:r w:rsidR="00B039CB">
        <w:rPr>
          <w:noProof/>
        </w:rPr>
        <w:t xml:space="preserve">eftir at </w:t>
      </w:r>
      <w:r w:rsidR="00ED4013">
        <w:rPr>
          <w:noProof/>
        </w:rPr>
        <w:t>løgtingslóg</w:t>
      </w:r>
      <w:r w:rsidR="00B039CB">
        <w:rPr>
          <w:noProof/>
        </w:rPr>
        <w:t xml:space="preserve">in kom í gildi, </w:t>
      </w:r>
      <w:r>
        <w:rPr>
          <w:noProof/>
        </w:rPr>
        <w:t>uttan mun til, nær endurgjald</w:t>
      </w:r>
      <w:r w:rsidR="00522182">
        <w:rPr>
          <w:noProof/>
        </w:rPr>
        <w:t>ið</w:t>
      </w:r>
      <w:r>
        <w:rPr>
          <w:noProof/>
        </w:rPr>
        <w:t xml:space="preserve"> er tillutað.</w:t>
      </w:r>
      <w:r w:rsidR="00522182">
        <w:rPr>
          <w:noProof/>
        </w:rPr>
        <w:t xml:space="preserve"> </w:t>
      </w:r>
      <w:r>
        <w:rPr>
          <w:noProof/>
        </w:rPr>
        <w:t>Endurgjøld, sum eru tillutað</w:t>
      </w:r>
      <w:r w:rsidR="004F2F95">
        <w:rPr>
          <w:noProof/>
        </w:rPr>
        <w:t>,</w:t>
      </w:r>
      <w:r>
        <w:rPr>
          <w:noProof/>
        </w:rPr>
        <w:t xml:space="preserve"> áðrenn </w:t>
      </w:r>
      <w:r w:rsidR="00ED4013">
        <w:rPr>
          <w:noProof/>
        </w:rPr>
        <w:t>løgtingslóg</w:t>
      </w:r>
      <w:r>
        <w:rPr>
          <w:noProof/>
        </w:rPr>
        <w:t xml:space="preserve">in kom í gildi, verða </w:t>
      </w:r>
      <w:r w:rsidR="001F46B0">
        <w:rPr>
          <w:noProof/>
        </w:rPr>
        <w:t xml:space="preserve">fyrstu ferð </w:t>
      </w:r>
      <w:r>
        <w:rPr>
          <w:noProof/>
        </w:rPr>
        <w:t>javnað við útgangsstøði í teirri upphædd, sum áður hevur verið útgoldin.</w:t>
      </w:r>
    </w:p>
    <w:p w14:paraId="5A055B93" w14:textId="0306C5F2" w:rsidR="00E60021" w:rsidRDefault="00E60021" w:rsidP="00EE0487">
      <w:pPr>
        <w:spacing w:after="0" w:line="276" w:lineRule="auto"/>
        <w:rPr>
          <w:noProof/>
        </w:rPr>
      </w:pPr>
    </w:p>
    <w:p w14:paraId="35E487CB" w14:textId="77777777" w:rsidR="00582E1F" w:rsidRDefault="00582E1F" w:rsidP="00EE0487">
      <w:pPr>
        <w:spacing w:after="0" w:line="276" w:lineRule="auto"/>
        <w:rPr>
          <w:noProof/>
        </w:rPr>
      </w:pPr>
    </w:p>
    <w:p w14:paraId="5433D9E7" w14:textId="77777777" w:rsidR="00C26A8A" w:rsidRPr="00C8383D" w:rsidRDefault="00C26A8A" w:rsidP="00EE0487">
      <w:pPr>
        <w:spacing w:after="0" w:line="276" w:lineRule="auto"/>
        <w:rPr>
          <w:noProof/>
        </w:rPr>
      </w:pPr>
    </w:p>
    <w:p w14:paraId="2DD2D1F2" w14:textId="77777777" w:rsidR="00E60021" w:rsidRPr="00C8383D" w:rsidRDefault="00E60021" w:rsidP="00EE0487">
      <w:pPr>
        <w:spacing w:after="0" w:line="276" w:lineRule="auto"/>
        <w:rPr>
          <w:b/>
          <w:noProof/>
        </w:rPr>
        <w:sectPr w:rsidR="00E60021" w:rsidRPr="00C8383D">
          <w:type w:val="continuous"/>
          <w:pgSz w:w="11906" w:h="16838"/>
          <w:pgMar w:top="1440" w:right="1440" w:bottom="1440" w:left="1440" w:header="709" w:footer="709" w:gutter="0"/>
          <w:cols w:space="720"/>
        </w:sectPr>
      </w:pPr>
    </w:p>
    <w:p w14:paraId="057F396D" w14:textId="069A5D98" w:rsidR="00E60021" w:rsidRPr="00C8383D" w:rsidRDefault="00E60021">
      <w:pPr>
        <w:spacing w:after="0" w:line="276" w:lineRule="auto"/>
        <w:jc w:val="both"/>
        <w:rPr>
          <w:b/>
          <w:noProof/>
        </w:rPr>
      </w:pPr>
      <w:r w:rsidRPr="00C8383D">
        <w:rPr>
          <w:b/>
          <w:noProof/>
        </w:rPr>
        <w:t>Kapittul 1. Almennar viðmerkingar</w:t>
      </w:r>
    </w:p>
    <w:p w14:paraId="213576EA" w14:textId="77777777" w:rsidR="0007570F" w:rsidRDefault="0007570F">
      <w:pPr>
        <w:spacing w:after="0" w:line="276" w:lineRule="auto"/>
        <w:rPr>
          <w:b/>
          <w:noProof/>
        </w:rPr>
      </w:pPr>
    </w:p>
    <w:p w14:paraId="63543BF2" w14:textId="1E82F674" w:rsidR="00E60021" w:rsidRPr="00C8383D" w:rsidRDefault="00E60021">
      <w:pPr>
        <w:spacing w:after="0" w:line="276" w:lineRule="auto"/>
        <w:rPr>
          <w:b/>
          <w:noProof/>
        </w:rPr>
      </w:pPr>
      <w:r w:rsidRPr="00C8383D">
        <w:rPr>
          <w:b/>
          <w:noProof/>
        </w:rPr>
        <w:t>1.1. Orsakir til uppskotið</w:t>
      </w:r>
    </w:p>
    <w:p w14:paraId="73CAA6D3" w14:textId="61CB8585" w:rsidR="00C27D81" w:rsidRPr="00C8383D" w:rsidRDefault="00C27D81">
      <w:pPr>
        <w:spacing w:after="0" w:line="276" w:lineRule="auto"/>
        <w:jc w:val="both"/>
        <w:rPr>
          <w:noProof/>
        </w:rPr>
      </w:pPr>
      <w:bookmarkStart w:id="1" w:name="_Hlk132633848"/>
      <w:r w:rsidRPr="00C8383D">
        <w:rPr>
          <w:noProof/>
        </w:rPr>
        <w:t>Borgarar og fakfeløg hava gjørt vart við, at endurgjald fyri mist vinnuføri, ið verður veitt sum framhaldandi árlig veiting</w:t>
      </w:r>
      <w:r w:rsidR="00522182">
        <w:rPr>
          <w:noProof/>
        </w:rPr>
        <w:t xml:space="preserve"> </w:t>
      </w:r>
      <w:r w:rsidR="00E201E3">
        <w:rPr>
          <w:noProof/>
        </w:rPr>
        <w:t>sambært</w:t>
      </w:r>
      <w:r w:rsidR="00522182">
        <w:rPr>
          <w:noProof/>
        </w:rPr>
        <w:t xml:space="preserve"> § 50 í </w:t>
      </w:r>
      <w:r w:rsidR="00ED4013">
        <w:rPr>
          <w:noProof/>
        </w:rPr>
        <w:t>Arbeiðsskaðatrygginga</w:t>
      </w:r>
      <w:r w:rsidR="00522182">
        <w:rPr>
          <w:noProof/>
        </w:rPr>
        <w:t>rlógini</w:t>
      </w:r>
      <w:r w:rsidRPr="00C8383D">
        <w:rPr>
          <w:noProof/>
        </w:rPr>
        <w:t xml:space="preserve">, ikki verður </w:t>
      </w:r>
      <w:r w:rsidR="00522182">
        <w:rPr>
          <w:noProof/>
        </w:rPr>
        <w:t>javnað í mun til lønarvøksturin í samfelagnum</w:t>
      </w:r>
      <w:r w:rsidRPr="00C8383D">
        <w:rPr>
          <w:noProof/>
        </w:rPr>
        <w:t xml:space="preserve">. Av tí sama minkar </w:t>
      </w:r>
      <w:r w:rsidR="00522182">
        <w:rPr>
          <w:noProof/>
        </w:rPr>
        <w:t>realvirði á endurgjalds</w:t>
      </w:r>
      <w:r w:rsidRPr="00C8383D">
        <w:rPr>
          <w:noProof/>
        </w:rPr>
        <w:t>veitingin</w:t>
      </w:r>
      <w:r w:rsidR="00522182">
        <w:rPr>
          <w:noProof/>
        </w:rPr>
        <w:t>i</w:t>
      </w:r>
      <w:r w:rsidR="001F46B0">
        <w:rPr>
          <w:noProof/>
        </w:rPr>
        <w:t>,</w:t>
      </w:r>
      <w:r w:rsidRPr="00C8383D">
        <w:rPr>
          <w:noProof/>
        </w:rPr>
        <w:t xml:space="preserve"> </w:t>
      </w:r>
      <w:r w:rsidR="00522182">
        <w:rPr>
          <w:noProof/>
        </w:rPr>
        <w:t>so hvørt sum lønirnar</w:t>
      </w:r>
      <w:r w:rsidRPr="00C8383D">
        <w:rPr>
          <w:noProof/>
        </w:rPr>
        <w:t xml:space="preserve"> í samfelagnum</w:t>
      </w:r>
      <w:r w:rsidR="00522182">
        <w:rPr>
          <w:noProof/>
        </w:rPr>
        <w:t xml:space="preserve"> hækka</w:t>
      </w:r>
      <w:r w:rsidRPr="00C8383D">
        <w:rPr>
          <w:noProof/>
        </w:rPr>
        <w:t>.</w:t>
      </w:r>
    </w:p>
    <w:bookmarkEnd w:id="1"/>
    <w:p w14:paraId="4ABA429E" w14:textId="0ACC4DF7" w:rsidR="00C27D81" w:rsidRPr="00C8383D" w:rsidRDefault="00C27D81">
      <w:pPr>
        <w:spacing w:after="0" w:line="276" w:lineRule="auto"/>
        <w:jc w:val="both"/>
        <w:rPr>
          <w:noProof/>
        </w:rPr>
      </w:pPr>
    </w:p>
    <w:p w14:paraId="27B560C6" w14:textId="0E8BC8EF" w:rsidR="00B23B76" w:rsidRPr="00C8383D" w:rsidRDefault="00E60021">
      <w:pPr>
        <w:spacing w:after="0" w:line="276" w:lineRule="auto"/>
        <w:rPr>
          <w:b/>
          <w:noProof/>
        </w:rPr>
      </w:pPr>
      <w:r w:rsidRPr="00C8383D">
        <w:rPr>
          <w:b/>
          <w:noProof/>
        </w:rPr>
        <w:t>1.2. Galdandi lóggáva</w:t>
      </w:r>
    </w:p>
    <w:p w14:paraId="6D0BA238" w14:textId="249F5F3F" w:rsidR="00382D3E" w:rsidRPr="00382D3E" w:rsidRDefault="00382D3E" w:rsidP="00CF6168">
      <w:pPr>
        <w:spacing w:after="0" w:line="276" w:lineRule="auto"/>
        <w:jc w:val="both"/>
        <w:rPr>
          <w:i/>
          <w:iCs/>
          <w:noProof/>
        </w:rPr>
      </w:pPr>
      <w:bookmarkStart w:id="2" w:name="_Hlk132635301"/>
      <w:r w:rsidRPr="00382D3E">
        <w:rPr>
          <w:i/>
          <w:iCs/>
          <w:noProof/>
        </w:rPr>
        <w:t>Javning av upphæddum</w:t>
      </w:r>
    </w:p>
    <w:p w14:paraId="31C4D24A" w14:textId="2F52E2F6" w:rsidR="004D112E" w:rsidRDefault="00AF4D40" w:rsidP="00CF6168">
      <w:pPr>
        <w:spacing w:after="0" w:line="276" w:lineRule="auto"/>
        <w:jc w:val="both"/>
        <w:rPr>
          <w:noProof/>
        </w:rPr>
      </w:pPr>
      <w:r>
        <w:rPr>
          <w:noProof/>
        </w:rPr>
        <w:t>Sambært</w:t>
      </w:r>
      <w:r w:rsidRPr="00C8383D">
        <w:rPr>
          <w:noProof/>
        </w:rPr>
        <w:t xml:space="preserve"> </w:t>
      </w:r>
      <w:r>
        <w:rPr>
          <w:noProof/>
        </w:rPr>
        <w:t xml:space="preserve">§ 43, stk. 1 í </w:t>
      </w:r>
      <w:r w:rsidR="00ED4013">
        <w:rPr>
          <w:noProof/>
        </w:rPr>
        <w:t>Arbeiðsskaðatrygginga</w:t>
      </w:r>
      <w:r>
        <w:rPr>
          <w:noProof/>
        </w:rPr>
        <w:t>rlóg</w:t>
      </w:r>
      <w:r w:rsidR="001F46B0">
        <w:rPr>
          <w:noProof/>
        </w:rPr>
        <w:t>ini</w:t>
      </w:r>
      <w:r w:rsidRPr="00C8383D">
        <w:rPr>
          <w:noProof/>
        </w:rPr>
        <w:t xml:space="preserve"> </w:t>
      </w:r>
      <w:r w:rsidR="00387EFF" w:rsidRPr="00C8383D">
        <w:rPr>
          <w:noProof/>
        </w:rPr>
        <w:t xml:space="preserve">verða </w:t>
      </w:r>
      <w:r w:rsidR="00382D3E">
        <w:rPr>
          <w:noProof/>
        </w:rPr>
        <w:t xml:space="preserve">ávísar </w:t>
      </w:r>
      <w:r w:rsidR="00387EFF" w:rsidRPr="00C8383D">
        <w:rPr>
          <w:noProof/>
        </w:rPr>
        <w:t>upphæddir</w:t>
      </w:r>
      <w:r w:rsidR="00382D3E">
        <w:rPr>
          <w:noProof/>
        </w:rPr>
        <w:t xml:space="preserve"> í løgtingslógini</w:t>
      </w:r>
      <w:r w:rsidR="002C3518">
        <w:rPr>
          <w:noProof/>
        </w:rPr>
        <w:t xml:space="preserve"> </w:t>
      </w:r>
      <w:r w:rsidR="00387EFF" w:rsidRPr="00C8383D">
        <w:rPr>
          <w:noProof/>
        </w:rPr>
        <w:t xml:space="preserve">javnaðar </w:t>
      </w:r>
      <w:r w:rsidR="009B6330" w:rsidRPr="009B6330">
        <w:rPr>
          <w:noProof/>
        </w:rPr>
        <w:t>av landsstýrismanninum eftir tilmæli frá Vanlukkutryggingarráðnum við broytingini í tí til eina og hvørja tíð galdandi høvuðssáttmála millum Føroya Arbeiðarafelag og Føroya Arbeiðsgevarafelag og avrundaðar til nærmastu 100 kr</w:t>
      </w:r>
      <w:r w:rsidR="00387EFF" w:rsidRPr="00C8383D">
        <w:rPr>
          <w:noProof/>
        </w:rPr>
        <w:t xml:space="preserve">. </w:t>
      </w:r>
      <w:r>
        <w:rPr>
          <w:noProof/>
        </w:rPr>
        <w:t>Talan er um upphæddir</w:t>
      </w:r>
      <w:r w:rsidR="00CD1EF7">
        <w:rPr>
          <w:noProof/>
        </w:rPr>
        <w:t>nar</w:t>
      </w:r>
      <w:r>
        <w:rPr>
          <w:noProof/>
        </w:rPr>
        <w:t>, sum eru ásettar í §§ 42</w:t>
      </w:r>
      <w:r w:rsidR="00CD1EF7">
        <w:rPr>
          <w:noProof/>
        </w:rPr>
        <w:t>, stk. 6</w:t>
      </w:r>
      <w:r>
        <w:rPr>
          <w:noProof/>
        </w:rPr>
        <w:t>, 57</w:t>
      </w:r>
      <w:r w:rsidR="00CD1EF7">
        <w:rPr>
          <w:noProof/>
        </w:rPr>
        <w:t>, stk. 2</w:t>
      </w:r>
      <w:r>
        <w:rPr>
          <w:noProof/>
        </w:rPr>
        <w:t xml:space="preserve"> og 59</w:t>
      </w:r>
      <w:r w:rsidR="00CD1EF7">
        <w:rPr>
          <w:noProof/>
        </w:rPr>
        <w:t>, stk. 1</w:t>
      </w:r>
      <w:r>
        <w:rPr>
          <w:noProof/>
        </w:rPr>
        <w:t>.</w:t>
      </w:r>
    </w:p>
    <w:p w14:paraId="2CAFF9D4" w14:textId="77777777" w:rsidR="00CD1EF7" w:rsidRDefault="00CD1EF7" w:rsidP="00CF6168">
      <w:pPr>
        <w:spacing w:after="0" w:line="276" w:lineRule="auto"/>
        <w:jc w:val="both"/>
        <w:rPr>
          <w:noProof/>
        </w:rPr>
      </w:pPr>
    </w:p>
    <w:p w14:paraId="7E656085" w14:textId="5A3A72A7" w:rsidR="004D112E" w:rsidRDefault="00522182" w:rsidP="00CF6168">
      <w:pPr>
        <w:spacing w:after="0" w:line="276" w:lineRule="auto"/>
        <w:jc w:val="both"/>
        <w:rPr>
          <w:noProof/>
        </w:rPr>
      </w:pPr>
      <w:r>
        <w:rPr>
          <w:noProof/>
        </w:rPr>
        <w:t xml:space="preserve">Endurgjald </w:t>
      </w:r>
      <w:r w:rsidR="00CD1EF7">
        <w:rPr>
          <w:noProof/>
        </w:rPr>
        <w:t xml:space="preserve">fyri mist vinnuføri </w:t>
      </w:r>
      <w:r w:rsidR="00A43062">
        <w:rPr>
          <w:noProof/>
        </w:rPr>
        <w:t>verður</w:t>
      </w:r>
      <w:r w:rsidR="00B93DA3">
        <w:rPr>
          <w:noProof/>
        </w:rPr>
        <w:t xml:space="preserve"> </w:t>
      </w:r>
      <w:r w:rsidR="00A43062">
        <w:rPr>
          <w:noProof/>
        </w:rPr>
        <w:t xml:space="preserve">ásett við </w:t>
      </w:r>
      <w:r w:rsidR="00510F74">
        <w:rPr>
          <w:noProof/>
        </w:rPr>
        <w:t>grundarlag</w:t>
      </w:r>
      <w:r w:rsidR="00A43062">
        <w:rPr>
          <w:noProof/>
        </w:rPr>
        <w:t xml:space="preserve"> í árslønini</w:t>
      </w:r>
      <w:r w:rsidR="00CD1EF7">
        <w:rPr>
          <w:noProof/>
        </w:rPr>
        <w:t xml:space="preserve"> hjá tryggjaða. Árslønin er</w:t>
      </w:r>
      <w:r w:rsidR="009B6330">
        <w:rPr>
          <w:noProof/>
        </w:rPr>
        <w:t xml:space="preserve"> samlaða </w:t>
      </w:r>
      <w:r w:rsidR="00A43062">
        <w:rPr>
          <w:noProof/>
        </w:rPr>
        <w:t>arbeiðsinntøk</w:t>
      </w:r>
      <w:r w:rsidR="009B6330">
        <w:rPr>
          <w:noProof/>
        </w:rPr>
        <w:t>a</w:t>
      </w:r>
      <w:r w:rsidR="00A43062">
        <w:rPr>
          <w:noProof/>
        </w:rPr>
        <w:t xml:space="preserve">n hjá tí tryggjaða árið frammanundan arbeiðsskaðan, tó við einum ovara </w:t>
      </w:r>
      <w:r w:rsidR="00A43062">
        <w:rPr>
          <w:noProof/>
        </w:rPr>
        <w:lastRenderedPageBreak/>
        <w:t xml:space="preserve">marki </w:t>
      </w:r>
      <w:r w:rsidR="004D112E">
        <w:rPr>
          <w:noProof/>
        </w:rPr>
        <w:t>ásett</w:t>
      </w:r>
      <w:r w:rsidR="00CD1EF7">
        <w:rPr>
          <w:noProof/>
        </w:rPr>
        <w:t>um</w:t>
      </w:r>
      <w:r w:rsidR="004D112E">
        <w:rPr>
          <w:noProof/>
        </w:rPr>
        <w:t xml:space="preserve"> í § 42, stk. 6</w:t>
      </w:r>
      <w:r w:rsidR="00CD1EF7">
        <w:rPr>
          <w:noProof/>
        </w:rPr>
        <w:t>. Tá løgtingslógin kom í gildi</w:t>
      </w:r>
      <w:bookmarkStart w:id="3" w:name="_Hlk129693824"/>
      <w:r w:rsidR="00A43062">
        <w:rPr>
          <w:noProof/>
        </w:rPr>
        <w:t xml:space="preserve"> 01.01.2010</w:t>
      </w:r>
      <w:r w:rsidR="009B6330">
        <w:rPr>
          <w:noProof/>
        </w:rPr>
        <w:t xml:space="preserve"> var</w:t>
      </w:r>
      <w:r w:rsidR="00CD1EF7">
        <w:rPr>
          <w:noProof/>
        </w:rPr>
        <w:t xml:space="preserve"> hámarkið fyri árslønina</w:t>
      </w:r>
      <w:r w:rsidR="009B6330">
        <w:rPr>
          <w:noProof/>
        </w:rPr>
        <w:t xml:space="preserve"> 367.000 kr.</w:t>
      </w:r>
      <w:r w:rsidR="00CD1EF7">
        <w:rPr>
          <w:noProof/>
        </w:rPr>
        <w:t xml:space="preserve"> </w:t>
      </w:r>
      <w:r w:rsidR="008A2CCC">
        <w:rPr>
          <w:noProof/>
        </w:rPr>
        <w:t>Hámarkið fyri á</w:t>
      </w:r>
      <w:r w:rsidR="00CD1EF7">
        <w:rPr>
          <w:noProof/>
        </w:rPr>
        <w:t>rslønin</w:t>
      </w:r>
      <w:r w:rsidR="008A2CCC">
        <w:rPr>
          <w:noProof/>
        </w:rPr>
        <w:t>a</w:t>
      </w:r>
      <w:r w:rsidR="00AF4D40">
        <w:rPr>
          <w:noProof/>
        </w:rPr>
        <w:t>verður</w:t>
      </w:r>
      <w:r w:rsidR="004D112E">
        <w:rPr>
          <w:noProof/>
        </w:rPr>
        <w:t xml:space="preserve"> javnað sambært § 43, stk. 1</w:t>
      </w:r>
      <w:r w:rsidR="00CD1EF7">
        <w:rPr>
          <w:noProof/>
        </w:rPr>
        <w:t xml:space="preserve"> og er nú</w:t>
      </w:r>
      <w:r w:rsidR="00382D3E">
        <w:rPr>
          <w:noProof/>
        </w:rPr>
        <w:t xml:space="preserve"> 470.900 kr.</w:t>
      </w:r>
      <w:bookmarkEnd w:id="3"/>
    </w:p>
    <w:p w14:paraId="41E7D0DE" w14:textId="77777777" w:rsidR="00CD1EF7" w:rsidRDefault="00CD1EF7" w:rsidP="00CF6168">
      <w:pPr>
        <w:spacing w:after="0" w:line="276" w:lineRule="auto"/>
        <w:jc w:val="both"/>
        <w:rPr>
          <w:noProof/>
        </w:rPr>
      </w:pPr>
    </w:p>
    <w:p w14:paraId="79E5EFC0" w14:textId="5E4ACB85" w:rsidR="00F07A1C" w:rsidRDefault="00AF4D40" w:rsidP="00CF6168">
      <w:pPr>
        <w:spacing w:after="0" w:line="276" w:lineRule="auto"/>
        <w:jc w:val="both"/>
        <w:rPr>
          <w:noProof/>
        </w:rPr>
      </w:pPr>
      <w:r>
        <w:rPr>
          <w:noProof/>
        </w:rPr>
        <w:t xml:space="preserve">At </w:t>
      </w:r>
      <w:r w:rsidR="00387EFF" w:rsidRPr="00C8383D">
        <w:rPr>
          <w:noProof/>
        </w:rPr>
        <w:t xml:space="preserve">endurgjaldsupphæddirnar </w:t>
      </w:r>
      <w:r>
        <w:rPr>
          <w:noProof/>
        </w:rPr>
        <w:t xml:space="preserve">sambært §§ 42, 57 og 59 verða javnaðar sambært § 43, stk. 1 merkir, at tær </w:t>
      </w:r>
      <w:r w:rsidR="00387EFF" w:rsidRPr="00C8383D">
        <w:rPr>
          <w:noProof/>
        </w:rPr>
        <w:t xml:space="preserve">varðveita sítt realvirði í mun til lønarlagið í samfelagnum. </w:t>
      </w:r>
      <w:r w:rsidR="006B6F06">
        <w:rPr>
          <w:noProof/>
        </w:rPr>
        <w:t xml:space="preserve">Sama er </w:t>
      </w:r>
      <w:r>
        <w:rPr>
          <w:noProof/>
        </w:rPr>
        <w:t xml:space="preserve">ikki galdandi fyri endurgjald fyri mist vinnuføri sambært § </w:t>
      </w:r>
      <w:r w:rsidR="006B6F06">
        <w:rPr>
          <w:noProof/>
        </w:rPr>
        <w:t>50, sum verður veitt sum framhaldandi árlig veiting.</w:t>
      </w:r>
    </w:p>
    <w:p w14:paraId="6D97A0F7" w14:textId="77777777" w:rsidR="00382D3E" w:rsidRDefault="00382D3E" w:rsidP="00CF6168">
      <w:pPr>
        <w:spacing w:after="0" w:line="276" w:lineRule="auto"/>
        <w:jc w:val="both"/>
        <w:rPr>
          <w:noProof/>
        </w:rPr>
      </w:pPr>
    </w:p>
    <w:p w14:paraId="7488D9C4" w14:textId="7DF6DC88" w:rsidR="00F91F96" w:rsidRDefault="00387EFF" w:rsidP="00CF6168">
      <w:pPr>
        <w:spacing w:after="0" w:line="276" w:lineRule="auto"/>
        <w:jc w:val="both"/>
        <w:rPr>
          <w:noProof/>
        </w:rPr>
      </w:pPr>
      <w:r w:rsidRPr="00C8383D">
        <w:rPr>
          <w:noProof/>
        </w:rPr>
        <w:t xml:space="preserve">Endurgjald fyri mist vinnuføri </w:t>
      </w:r>
      <w:r w:rsidR="006B6F06">
        <w:rPr>
          <w:noProof/>
        </w:rPr>
        <w:t xml:space="preserve">sambært § 50 </w:t>
      </w:r>
      <w:r w:rsidRPr="00C8383D">
        <w:rPr>
          <w:noProof/>
        </w:rPr>
        <w:t>verður</w:t>
      </w:r>
      <w:r w:rsidR="00B039CB">
        <w:rPr>
          <w:noProof/>
        </w:rPr>
        <w:t xml:space="preserve"> </w:t>
      </w:r>
      <w:r w:rsidRPr="00C8383D">
        <w:rPr>
          <w:noProof/>
        </w:rPr>
        <w:t>roknað í mun til árslønina hjá tí tryggjaða</w:t>
      </w:r>
      <w:r w:rsidR="006B6F06">
        <w:rPr>
          <w:noProof/>
        </w:rPr>
        <w:t xml:space="preserve"> sambært § 42</w:t>
      </w:r>
      <w:r w:rsidRPr="00C8383D">
        <w:rPr>
          <w:noProof/>
        </w:rPr>
        <w:t xml:space="preserve">, men eftir tað verður veitingin ikki javnað. </w:t>
      </w:r>
      <w:r w:rsidR="007E220B">
        <w:rPr>
          <w:noProof/>
        </w:rPr>
        <w:t>Hetta merkir, at endurgjaldsveitingin missur realvirði</w:t>
      </w:r>
      <w:r w:rsidR="00E201E3">
        <w:rPr>
          <w:noProof/>
        </w:rPr>
        <w:t>ð</w:t>
      </w:r>
      <w:r w:rsidR="00555CE7">
        <w:rPr>
          <w:noProof/>
        </w:rPr>
        <w:t>,</w:t>
      </w:r>
      <w:r w:rsidR="007E220B">
        <w:rPr>
          <w:noProof/>
        </w:rPr>
        <w:t xml:space="preserve"> </w:t>
      </w:r>
      <w:r w:rsidR="00F07A1C">
        <w:rPr>
          <w:noProof/>
        </w:rPr>
        <w:t>so hvørt</w:t>
      </w:r>
      <w:r w:rsidR="007E220B">
        <w:rPr>
          <w:noProof/>
        </w:rPr>
        <w:t xml:space="preserve"> lønarlagið í samfelagnum</w:t>
      </w:r>
      <w:r w:rsidR="00F07A1C">
        <w:rPr>
          <w:noProof/>
        </w:rPr>
        <w:t xml:space="preserve"> hækkar</w:t>
      </w:r>
      <w:r w:rsidR="007E220B">
        <w:rPr>
          <w:noProof/>
        </w:rPr>
        <w:t>. Um ein løntakari missir vinnuføri á ungum aldri, kann minkingin í realvirði</w:t>
      </w:r>
      <w:r w:rsidR="00B039CB">
        <w:rPr>
          <w:noProof/>
        </w:rPr>
        <w:t>num av endurgjaldsveitingini</w:t>
      </w:r>
      <w:r w:rsidR="007E220B">
        <w:rPr>
          <w:noProof/>
        </w:rPr>
        <w:t xml:space="preserve"> vera munandi.</w:t>
      </w:r>
      <w:r w:rsidR="00F91F96">
        <w:rPr>
          <w:noProof/>
        </w:rPr>
        <w:t xml:space="preserve"> </w:t>
      </w:r>
    </w:p>
    <w:p w14:paraId="329887A6" w14:textId="77777777" w:rsidR="00F91F96" w:rsidRDefault="00F91F96" w:rsidP="00CF6168">
      <w:pPr>
        <w:spacing w:after="0" w:line="276" w:lineRule="auto"/>
        <w:jc w:val="both"/>
        <w:rPr>
          <w:noProof/>
        </w:rPr>
      </w:pPr>
    </w:p>
    <w:p w14:paraId="61C8638A" w14:textId="04E0D6B6" w:rsidR="009F7183" w:rsidRPr="00BF01FE" w:rsidRDefault="009F7183" w:rsidP="00CF6168">
      <w:pPr>
        <w:spacing w:after="0" w:line="276" w:lineRule="auto"/>
        <w:jc w:val="both"/>
        <w:rPr>
          <w:noProof/>
        </w:rPr>
      </w:pPr>
      <w:r w:rsidRPr="00BF01FE">
        <w:rPr>
          <w:noProof/>
        </w:rPr>
        <w:t xml:space="preserve">Í einum hugsaðum </w:t>
      </w:r>
      <w:r w:rsidR="00F91F96" w:rsidRPr="00BF01FE">
        <w:rPr>
          <w:noProof/>
        </w:rPr>
        <w:t xml:space="preserve">dømi, </w:t>
      </w:r>
      <w:r w:rsidRPr="00BF01FE">
        <w:rPr>
          <w:noProof/>
        </w:rPr>
        <w:t xml:space="preserve">fær ein borgari í 2011 tilluta </w:t>
      </w:r>
      <w:r w:rsidR="00F91F96" w:rsidRPr="00BF01FE">
        <w:rPr>
          <w:noProof/>
        </w:rPr>
        <w:t xml:space="preserve">framhaldandi endurgjaldsveiting </w:t>
      </w:r>
      <w:r w:rsidRPr="00BF01FE">
        <w:rPr>
          <w:noProof/>
        </w:rPr>
        <w:t xml:space="preserve">sambært § 50 við </w:t>
      </w:r>
      <w:r w:rsidR="00F91F96" w:rsidRPr="00BF01FE">
        <w:rPr>
          <w:noProof/>
        </w:rPr>
        <w:t xml:space="preserve">180.000 kr. </w:t>
      </w:r>
      <w:r w:rsidRPr="00BF01FE">
        <w:rPr>
          <w:noProof/>
        </w:rPr>
        <w:t xml:space="preserve">í </w:t>
      </w:r>
      <w:r w:rsidR="00F91F96" w:rsidRPr="00BF01FE">
        <w:rPr>
          <w:noProof/>
        </w:rPr>
        <w:t>árlig</w:t>
      </w:r>
      <w:r w:rsidRPr="00BF01FE">
        <w:rPr>
          <w:noProof/>
        </w:rPr>
        <w:t>um útgjaldið. Í</w:t>
      </w:r>
      <w:r w:rsidR="00F91F96" w:rsidRPr="00BF01FE">
        <w:rPr>
          <w:noProof/>
        </w:rPr>
        <w:t xml:space="preserve"> 2022 </w:t>
      </w:r>
      <w:r w:rsidRPr="00BF01FE">
        <w:rPr>
          <w:noProof/>
        </w:rPr>
        <w:t xml:space="preserve">er árliga útgjaldið sambært galdandi løgtingslóg </w:t>
      </w:r>
      <w:r w:rsidR="00F91F96" w:rsidRPr="00BF01FE">
        <w:rPr>
          <w:noProof/>
        </w:rPr>
        <w:t>framvegis 180.000 kr.</w:t>
      </w:r>
      <w:r w:rsidRPr="00BF01FE">
        <w:rPr>
          <w:noProof/>
        </w:rPr>
        <w:t>.</w:t>
      </w:r>
      <w:r w:rsidR="00F91F96" w:rsidRPr="00BF01FE">
        <w:rPr>
          <w:noProof/>
        </w:rPr>
        <w:t xml:space="preserve"> </w:t>
      </w:r>
      <w:r w:rsidRPr="00BF01FE">
        <w:rPr>
          <w:noProof/>
        </w:rPr>
        <w:t>Í sama tíðarskeiðið – frá 2011 til 2022 – eru endurgjaldsupphæddirnar, sum eru ásettar í §§ 42, 57 og 59, og sum eru javnaðar sambært § 43, stk. 1, hækkaðar við tilsamans 22.8%</w:t>
      </w:r>
      <w:r w:rsidR="002D7D65" w:rsidRPr="00BF01FE">
        <w:rPr>
          <w:rStyle w:val="FootnoteReference"/>
          <w:noProof/>
          <w:vertAlign w:val="superscript"/>
        </w:rPr>
        <w:footnoteReference w:id="1"/>
      </w:r>
      <w:r w:rsidRPr="00BF01FE">
        <w:rPr>
          <w:noProof/>
        </w:rPr>
        <w:t xml:space="preserve">. </w:t>
      </w:r>
    </w:p>
    <w:p w14:paraId="0615F9C7" w14:textId="77777777" w:rsidR="009F7183" w:rsidRPr="00BF01FE" w:rsidRDefault="009F7183" w:rsidP="00CF6168">
      <w:pPr>
        <w:spacing w:after="0" w:line="276" w:lineRule="auto"/>
        <w:jc w:val="both"/>
        <w:rPr>
          <w:noProof/>
        </w:rPr>
      </w:pPr>
    </w:p>
    <w:p w14:paraId="2AC517E7" w14:textId="3D4EE111" w:rsidR="00F91F96" w:rsidRDefault="00F91F96" w:rsidP="00CF6168">
      <w:pPr>
        <w:spacing w:after="0" w:line="276" w:lineRule="auto"/>
        <w:jc w:val="both"/>
        <w:rPr>
          <w:noProof/>
        </w:rPr>
      </w:pPr>
      <w:r w:rsidRPr="00BF01FE">
        <w:rPr>
          <w:noProof/>
        </w:rPr>
        <w:t>Hevði veitingin</w:t>
      </w:r>
      <w:r w:rsidR="002D7D65" w:rsidRPr="00BF01FE">
        <w:rPr>
          <w:noProof/>
        </w:rPr>
        <w:t xml:space="preserve"> í hugsaða døminum omanfyri</w:t>
      </w:r>
      <w:r w:rsidR="009F7183" w:rsidRPr="00BF01FE">
        <w:rPr>
          <w:noProof/>
        </w:rPr>
        <w:t xml:space="preserve"> </w:t>
      </w:r>
      <w:r w:rsidRPr="00BF01FE">
        <w:rPr>
          <w:noProof/>
        </w:rPr>
        <w:t>verið javnað sambært § 43, stk. 1 á sama hátt sum endurgjaldsupphæddirnar sambært §§ 42, 57 og 59, so hevði framhaldandi endurgjaldsveitingin, sum í 2011 var 180.000 kr.</w:t>
      </w:r>
      <w:r w:rsidR="003562BA" w:rsidRPr="00BF01FE">
        <w:rPr>
          <w:noProof/>
        </w:rPr>
        <w:t>,</w:t>
      </w:r>
      <w:r w:rsidRPr="00BF01FE">
        <w:rPr>
          <w:noProof/>
        </w:rPr>
        <w:t xml:space="preserve"> í 2022 verið 220.993 kr. </w:t>
      </w:r>
      <w:r w:rsidR="009F7183" w:rsidRPr="00BF01FE">
        <w:rPr>
          <w:noProof/>
        </w:rPr>
        <w:t>Um framhaldandi endurgjaldsve</w:t>
      </w:r>
      <w:r w:rsidR="002D7D65" w:rsidRPr="00BF01FE">
        <w:rPr>
          <w:noProof/>
        </w:rPr>
        <w:t>i</w:t>
      </w:r>
      <w:r w:rsidR="009F7183" w:rsidRPr="00BF01FE">
        <w:rPr>
          <w:noProof/>
        </w:rPr>
        <w:t xml:space="preserve">tingini </w:t>
      </w:r>
      <w:r w:rsidR="002D7D65" w:rsidRPr="00BF01FE">
        <w:rPr>
          <w:noProof/>
        </w:rPr>
        <w:t xml:space="preserve">í hugsaða døminum </w:t>
      </w:r>
      <w:r w:rsidR="009F7183" w:rsidRPr="00BF01FE">
        <w:rPr>
          <w:noProof/>
        </w:rPr>
        <w:t xml:space="preserve">var javnað </w:t>
      </w:r>
      <w:r w:rsidR="002D7D65" w:rsidRPr="00BF01FE">
        <w:rPr>
          <w:noProof/>
        </w:rPr>
        <w:t xml:space="preserve">øll árini </w:t>
      </w:r>
      <w:r w:rsidR="009F7183" w:rsidRPr="00BF01FE">
        <w:rPr>
          <w:noProof/>
        </w:rPr>
        <w:t>sambært § 43, stk. 1, hevði á</w:t>
      </w:r>
      <w:r w:rsidR="00AC6002" w:rsidRPr="00BF01FE">
        <w:rPr>
          <w:noProof/>
        </w:rPr>
        <w:t xml:space="preserve">rliga útgjaldið í 2022 </w:t>
      </w:r>
      <w:r w:rsidR="009F7183" w:rsidRPr="00BF01FE">
        <w:rPr>
          <w:noProof/>
        </w:rPr>
        <w:t xml:space="preserve">sostatt verið </w:t>
      </w:r>
      <w:r w:rsidRPr="00BF01FE">
        <w:rPr>
          <w:noProof/>
        </w:rPr>
        <w:t>4</w:t>
      </w:r>
      <w:r w:rsidR="009F7183" w:rsidRPr="00BF01FE">
        <w:rPr>
          <w:noProof/>
        </w:rPr>
        <w:t>0</w:t>
      </w:r>
      <w:r w:rsidRPr="00BF01FE">
        <w:rPr>
          <w:noProof/>
        </w:rPr>
        <w:t>.</w:t>
      </w:r>
      <w:r w:rsidR="009F7183" w:rsidRPr="00BF01FE">
        <w:rPr>
          <w:noProof/>
        </w:rPr>
        <w:t>993</w:t>
      </w:r>
      <w:r w:rsidRPr="00BF01FE">
        <w:rPr>
          <w:noProof/>
        </w:rPr>
        <w:t xml:space="preserve"> kr. </w:t>
      </w:r>
      <w:r w:rsidR="009F7183" w:rsidRPr="00BF01FE">
        <w:rPr>
          <w:noProof/>
        </w:rPr>
        <w:t>hægri enn tað varð í</w:t>
      </w:r>
      <w:r w:rsidRPr="00BF01FE">
        <w:rPr>
          <w:noProof/>
        </w:rPr>
        <w:t xml:space="preserve"> 2011</w:t>
      </w:r>
      <w:r w:rsidR="00AC6002" w:rsidRPr="00BF01FE">
        <w:rPr>
          <w:noProof/>
        </w:rPr>
        <w:t xml:space="preserve">. </w:t>
      </w:r>
      <w:r w:rsidR="002D7D65" w:rsidRPr="00BF01FE">
        <w:rPr>
          <w:noProof/>
        </w:rPr>
        <w:t>F</w:t>
      </w:r>
      <w:r w:rsidR="00AC6002" w:rsidRPr="00BF01FE">
        <w:rPr>
          <w:noProof/>
        </w:rPr>
        <w:t>yri alt tíðarskeiðið 2011-2022</w:t>
      </w:r>
      <w:r w:rsidR="002D7D65" w:rsidRPr="00BF01FE">
        <w:rPr>
          <w:noProof/>
        </w:rPr>
        <w:t xml:space="preserve"> hevði útgoldna veitingin í hugsaða døminum, um hon var javnað sambært § 43, stk. 1, verið </w:t>
      </w:r>
      <w:r w:rsidR="00AC6002" w:rsidRPr="00BF01FE">
        <w:rPr>
          <w:noProof/>
        </w:rPr>
        <w:t>263.535 kr.</w:t>
      </w:r>
      <w:r w:rsidR="002D7D65" w:rsidRPr="00BF01FE">
        <w:rPr>
          <w:noProof/>
        </w:rPr>
        <w:t xml:space="preserve"> hægri enn hon hevði verið sambært galdandi løgtingslóg.</w:t>
      </w:r>
    </w:p>
    <w:p w14:paraId="63E00E2D" w14:textId="258CBEF9" w:rsidR="00555CE7" w:rsidRDefault="00555CE7" w:rsidP="00CF6168">
      <w:pPr>
        <w:spacing w:after="0" w:line="276" w:lineRule="auto"/>
        <w:jc w:val="both"/>
        <w:rPr>
          <w:noProof/>
        </w:rPr>
      </w:pPr>
    </w:p>
    <w:p w14:paraId="23871C24" w14:textId="54894C6F" w:rsidR="00555CE7" w:rsidRDefault="00555CE7" w:rsidP="00CF6168">
      <w:pPr>
        <w:spacing w:after="0" w:line="276" w:lineRule="auto"/>
        <w:jc w:val="both"/>
        <w:rPr>
          <w:i/>
          <w:iCs/>
          <w:noProof/>
        </w:rPr>
      </w:pPr>
      <w:r>
        <w:rPr>
          <w:i/>
          <w:iCs/>
          <w:noProof/>
        </w:rPr>
        <w:t xml:space="preserve">67 ára aldursmarkið í </w:t>
      </w:r>
      <w:r w:rsidR="00ED4013">
        <w:rPr>
          <w:i/>
          <w:iCs/>
          <w:noProof/>
        </w:rPr>
        <w:t>Arbeiðsskaðatrygginga</w:t>
      </w:r>
      <w:r>
        <w:rPr>
          <w:i/>
          <w:iCs/>
          <w:noProof/>
        </w:rPr>
        <w:t>rlógini</w:t>
      </w:r>
    </w:p>
    <w:p w14:paraId="52CE5052" w14:textId="469B2F1C" w:rsidR="00B039CB" w:rsidRDefault="00555CE7" w:rsidP="00CF6168">
      <w:pPr>
        <w:spacing w:after="0" w:line="276" w:lineRule="auto"/>
        <w:jc w:val="both"/>
        <w:rPr>
          <w:noProof/>
        </w:rPr>
      </w:pPr>
      <w:r>
        <w:rPr>
          <w:noProof/>
        </w:rPr>
        <w:t xml:space="preserve">Sambært </w:t>
      </w:r>
      <w:r w:rsidR="00ED4013">
        <w:rPr>
          <w:noProof/>
        </w:rPr>
        <w:t>Arbeiðsskaðatrygginga</w:t>
      </w:r>
      <w:r>
        <w:rPr>
          <w:noProof/>
        </w:rPr>
        <w:t xml:space="preserve">rlógini halda summar av veitingunum sambært løgtingslógini uppat seinast í tí mánaðinum, </w:t>
      </w:r>
      <w:r w:rsidR="00B039CB">
        <w:rPr>
          <w:noProof/>
        </w:rPr>
        <w:t xml:space="preserve">at </w:t>
      </w:r>
      <w:r>
        <w:rPr>
          <w:noProof/>
        </w:rPr>
        <w:t xml:space="preserve">tann, ið hevur rætt til veitingarnar, fyllir 67 ár. </w:t>
      </w:r>
      <w:r w:rsidR="00915F2D">
        <w:rPr>
          <w:noProof/>
        </w:rPr>
        <w:t>A</w:t>
      </w:r>
      <w:r>
        <w:rPr>
          <w:noProof/>
        </w:rPr>
        <w:t xml:space="preserve">ldursmarkið var tað sama sum </w:t>
      </w:r>
      <w:r w:rsidR="00915F2D">
        <w:rPr>
          <w:noProof/>
        </w:rPr>
        <w:t xml:space="preserve">pensjónsaldurin. </w:t>
      </w:r>
    </w:p>
    <w:p w14:paraId="359C211B" w14:textId="77777777" w:rsidR="00B039CB" w:rsidRDefault="00B039CB" w:rsidP="00CF6168">
      <w:pPr>
        <w:spacing w:after="0" w:line="276" w:lineRule="auto"/>
        <w:jc w:val="both"/>
        <w:rPr>
          <w:noProof/>
        </w:rPr>
      </w:pPr>
    </w:p>
    <w:p w14:paraId="6E34CE22" w14:textId="77777777" w:rsidR="00B039CB" w:rsidRDefault="00B039CB" w:rsidP="00CF6168">
      <w:pPr>
        <w:spacing w:after="0" w:line="276" w:lineRule="auto"/>
        <w:jc w:val="both"/>
        <w:rPr>
          <w:noProof/>
        </w:rPr>
      </w:pPr>
      <w:r>
        <w:rPr>
          <w:noProof/>
        </w:rPr>
        <w:t>Í</w:t>
      </w:r>
      <w:r w:rsidR="00915F2D">
        <w:rPr>
          <w:noProof/>
        </w:rPr>
        <w:t xml:space="preserve"> løgtingslóg um almannapensjónir o.a., </w:t>
      </w:r>
      <w:r>
        <w:rPr>
          <w:noProof/>
        </w:rPr>
        <w:t xml:space="preserve">er ásett, </w:t>
      </w:r>
      <w:r w:rsidR="00915F2D">
        <w:rPr>
          <w:noProof/>
        </w:rPr>
        <w:t xml:space="preserve">at </w:t>
      </w:r>
      <w:bookmarkStart w:id="4" w:name="_Hlk132634247"/>
      <w:r w:rsidR="00915F2D">
        <w:rPr>
          <w:noProof/>
        </w:rPr>
        <w:t xml:space="preserve">pensjónsaldurin er 67½ ár fyri persónar føddir í tíðarskeiðinum 1. juli 1957 til 31. desember 1962, og 68 ár fyri persónar føddir eftir 31. desember 1962. </w:t>
      </w:r>
    </w:p>
    <w:bookmarkEnd w:id="4"/>
    <w:p w14:paraId="55EA6E18" w14:textId="77777777" w:rsidR="00B039CB" w:rsidRDefault="00B039CB" w:rsidP="00CF6168">
      <w:pPr>
        <w:spacing w:after="0" w:line="276" w:lineRule="auto"/>
        <w:jc w:val="both"/>
        <w:rPr>
          <w:noProof/>
        </w:rPr>
      </w:pPr>
    </w:p>
    <w:p w14:paraId="1D15C718" w14:textId="4099B439" w:rsidR="00555CE7" w:rsidRPr="00555CE7" w:rsidRDefault="00B039CB" w:rsidP="00CF6168">
      <w:pPr>
        <w:spacing w:after="0" w:line="276" w:lineRule="auto"/>
        <w:jc w:val="both"/>
        <w:rPr>
          <w:noProof/>
        </w:rPr>
      </w:pPr>
      <w:r>
        <w:rPr>
          <w:noProof/>
        </w:rPr>
        <w:t xml:space="preserve">Til tess at forða fyri, at persónar við arbeiðsskaða ella vinnusjúku, í eitt tíðarskeið, hvørki hava rætt til arbeiðsskaðatrygging ella fólkapensjón, </w:t>
      </w:r>
      <w:r w:rsidR="00915F2D">
        <w:rPr>
          <w:noProof/>
        </w:rPr>
        <w:t xml:space="preserve">eigur aldursmarkið í </w:t>
      </w:r>
      <w:r w:rsidR="00ED4013">
        <w:rPr>
          <w:noProof/>
        </w:rPr>
        <w:lastRenderedPageBreak/>
        <w:t>Arbeiðsskaðatrygginga</w:t>
      </w:r>
      <w:r w:rsidR="00915F2D">
        <w:rPr>
          <w:noProof/>
        </w:rPr>
        <w:t>rlógini at fylgja fólkapensjónsaldrinum sambært løgtingslóg um almannapensjónir o.a.</w:t>
      </w:r>
    </w:p>
    <w:p w14:paraId="121D1B0B" w14:textId="77777777" w:rsidR="00E60021" w:rsidRPr="00C8383D" w:rsidRDefault="00E60021">
      <w:pPr>
        <w:spacing w:after="0" w:line="276" w:lineRule="auto"/>
        <w:jc w:val="both"/>
        <w:rPr>
          <w:b/>
          <w:noProof/>
        </w:rPr>
      </w:pPr>
    </w:p>
    <w:p w14:paraId="01A31E83" w14:textId="77777777" w:rsidR="00E60021" w:rsidRPr="00C8383D" w:rsidRDefault="00E60021">
      <w:pPr>
        <w:spacing w:after="0" w:line="276" w:lineRule="auto"/>
        <w:rPr>
          <w:b/>
          <w:noProof/>
        </w:rPr>
      </w:pPr>
      <w:r w:rsidRPr="00C8383D">
        <w:rPr>
          <w:b/>
          <w:noProof/>
        </w:rPr>
        <w:t>1.3. Endamálið við uppskotinum</w:t>
      </w:r>
    </w:p>
    <w:p w14:paraId="1FBB14A5" w14:textId="77777777" w:rsidR="00321E96" w:rsidRDefault="00387EFF">
      <w:pPr>
        <w:spacing w:after="0" w:line="276" w:lineRule="auto"/>
        <w:jc w:val="both"/>
        <w:rPr>
          <w:noProof/>
        </w:rPr>
      </w:pPr>
      <w:r w:rsidRPr="00C8383D">
        <w:rPr>
          <w:noProof/>
        </w:rPr>
        <w:t xml:space="preserve">Endamálið við </w:t>
      </w:r>
      <w:r w:rsidR="008A2CCC">
        <w:rPr>
          <w:noProof/>
        </w:rPr>
        <w:t>lógar</w:t>
      </w:r>
      <w:r w:rsidRPr="00C8383D">
        <w:rPr>
          <w:noProof/>
        </w:rPr>
        <w:t xml:space="preserve">uppskotinum er at </w:t>
      </w:r>
      <w:r w:rsidR="00E73922" w:rsidRPr="00C8383D">
        <w:rPr>
          <w:noProof/>
        </w:rPr>
        <w:t>skipa so fyri, at endurgjald fyri mist vinnuføri, ið verður veitt sum framhaldandi árlig veiting</w:t>
      </w:r>
      <w:r w:rsidR="00321E96">
        <w:rPr>
          <w:noProof/>
        </w:rPr>
        <w:t xml:space="preserve"> sambært § 50</w:t>
      </w:r>
      <w:r w:rsidR="00E73922" w:rsidRPr="00C8383D">
        <w:rPr>
          <w:noProof/>
        </w:rPr>
        <w:t xml:space="preserve">, verður javnað í mun til lønarvøksturin í samfelagnum á sama hátt, sum </w:t>
      </w:r>
      <w:r w:rsidR="008A2CCC">
        <w:rPr>
          <w:noProof/>
        </w:rPr>
        <w:t>aðrar upphæddir í løgtingslógini verða javnaðar</w:t>
      </w:r>
      <w:r w:rsidR="00E73922" w:rsidRPr="00C8383D">
        <w:rPr>
          <w:noProof/>
        </w:rPr>
        <w:t>.</w:t>
      </w:r>
      <w:r w:rsidR="007E220B">
        <w:rPr>
          <w:noProof/>
        </w:rPr>
        <w:t xml:space="preserve"> Á hendan hátt varðveitir veitingin sítt realvirði í mun til lønarlagið í samfelagnum. </w:t>
      </w:r>
    </w:p>
    <w:p w14:paraId="7A00023D" w14:textId="77777777" w:rsidR="00321E96" w:rsidRDefault="00321E96">
      <w:pPr>
        <w:spacing w:after="0" w:line="276" w:lineRule="auto"/>
        <w:jc w:val="both"/>
        <w:rPr>
          <w:noProof/>
        </w:rPr>
      </w:pPr>
    </w:p>
    <w:p w14:paraId="5882A56B" w14:textId="7B9D7A1F" w:rsidR="00E60021" w:rsidRPr="00C8383D" w:rsidRDefault="00321E96">
      <w:pPr>
        <w:spacing w:after="0" w:line="276" w:lineRule="auto"/>
        <w:jc w:val="both"/>
        <w:rPr>
          <w:noProof/>
        </w:rPr>
      </w:pPr>
      <w:r>
        <w:rPr>
          <w:noProof/>
        </w:rPr>
        <w:t>Endamálið við lógaruppskotinum er harumframt at tryggja</w:t>
      </w:r>
      <w:r w:rsidRPr="00321E96">
        <w:rPr>
          <w:noProof/>
        </w:rPr>
        <w:t xml:space="preserve">, at persónar við arbeiðsskaða ella vinnusjúku, </w:t>
      </w:r>
      <w:r>
        <w:rPr>
          <w:noProof/>
        </w:rPr>
        <w:t xml:space="preserve">altíð hava rætt til antin </w:t>
      </w:r>
      <w:r w:rsidRPr="00321E96">
        <w:rPr>
          <w:noProof/>
        </w:rPr>
        <w:t>arbeiðsskaðatrygging ella fólkapensjón</w:t>
      </w:r>
      <w:r>
        <w:rPr>
          <w:noProof/>
        </w:rPr>
        <w:t>.</w:t>
      </w:r>
    </w:p>
    <w:p w14:paraId="10966EEE" w14:textId="77777777" w:rsidR="00C26A8A" w:rsidRDefault="00C26A8A">
      <w:pPr>
        <w:spacing w:after="0" w:line="276" w:lineRule="auto"/>
        <w:rPr>
          <w:b/>
          <w:noProof/>
        </w:rPr>
      </w:pPr>
    </w:p>
    <w:p w14:paraId="3953CFBD" w14:textId="2D402349" w:rsidR="00E60021" w:rsidRPr="00C8383D" w:rsidRDefault="00E60021">
      <w:pPr>
        <w:spacing w:after="0" w:line="276" w:lineRule="auto"/>
        <w:rPr>
          <w:b/>
          <w:noProof/>
        </w:rPr>
      </w:pPr>
      <w:r w:rsidRPr="00C8383D">
        <w:rPr>
          <w:b/>
          <w:noProof/>
        </w:rPr>
        <w:t>1.4. Samandráttur av nýskipanini við uppskotinum</w:t>
      </w:r>
    </w:p>
    <w:p w14:paraId="6A4BB703" w14:textId="44CFC266" w:rsidR="00E60021" w:rsidRDefault="00E73922">
      <w:pPr>
        <w:spacing w:after="0" w:line="276" w:lineRule="auto"/>
        <w:jc w:val="both"/>
        <w:rPr>
          <w:noProof/>
        </w:rPr>
      </w:pPr>
      <w:r w:rsidRPr="00C8383D">
        <w:rPr>
          <w:noProof/>
        </w:rPr>
        <w:t>Við uppskotinum verður ásett, at endurgjald fyri mist vinnuføri, ið verður veitt sum framhaldandi árlig veiting</w:t>
      </w:r>
      <w:r w:rsidR="00321E96">
        <w:rPr>
          <w:noProof/>
        </w:rPr>
        <w:t xml:space="preserve"> sambært § 50</w:t>
      </w:r>
      <w:r w:rsidRPr="00C8383D">
        <w:rPr>
          <w:noProof/>
        </w:rPr>
        <w:t xml:space="preserve">, verður javnað </w:t>
      </w:r>
      <w:r w:rsidR="006B6F06" w:rsidRPr="006B6F06">
        <w:rPr>
          <w:noProof/>
        </w:rPr>
        <w:t>av landsstýrismanninum eftir tilmæli frá Vanlukkutryggingarráðnum við broytingini í tí til eina og hvørja tíð galdandi høvuðssáttmála millum Føroya Arbeiðarafelag og Føroya Arbeiðsgevarafelag avrundað til nærmastu 100 kr.</w:t>
      </w:r>
      <w:r w:rsidR="000D42D4">
        <w:rPr>
          <w:noProof/>
        </w:rPr>
        <w:t xml:space="preserve"> Endurgjaldið verður hereftir javnað á hvørjum ári, soleiðis at veitingin ikki stendur í stað, men fylgir lønarvøkstrinum.</w:t>
      </w:r>
    </w:p>
    <w:p w14:paraId="5CABDD33" w14:textId="4851D694" w:rsidR="00321E96" w:rsidRDefault="00321E96">
      <w:pPr>
        <w:spacing w:after="0" w:line="276" w:lineRule="auto"/>
        <w:jc w:val="both"/>
        <w:rPr>
          <w:noProof/>
        </w:rPr>
      </w:pPr>
    </w:p>
    <w:p w14:paraId="06A1B892" w14:textId="63A3B9B5" w:rsidR="00321E96" w:rsidRPr="00C8383D" w:rsidRDefault="00321E96">
      <w:pPr>
        <w:spacing w:after="0" w:line="276" w:lineRule="auto"/>
        <w:jc w:val="both"/>
        <w:rPr>
          <w:noProof/>
        </w:rPr>
      </w:pPr>
      <w:r>
        <w:rPr>
          <w:noProof/>
        </w:rPr>
        <w:t xml:space="preserve">Aldursmarkið fyri, nær framhaldandi endurgjaldsveiting fyri mist vinnuføri og framhaldandi tíðaravmarkað endurgjaldsveiting fyri mistan uppihaldara í seinasta lagi enda, verður broytt frá “67 ár” til </w:t>
      </w:r>
      <w:r w:rsidR="00481408">
        <w:rPr>
          <w:noProof/>
        </w:rPr>
        <w:t>f</w:t>
      </w:r>
      <w:r>
        <w:rPr>
          <w:noProof/>
        </w:rPr>
        <w:t>ólkapensjónsald</w:t>
      </w:r>
      <w:r w:rsidR="001A7AAD">
        <w:rPr>
          <w:noProof/>
        </w:rPr>
        <w:t>ur</w:t>
      </w:r>
      <w:r>
        <w:rPr>
          <w:noProof/>
        </w:rPr>
        <w:t xml:space="preserve"> sambært løgtingslóg um almannapensjónir o.a.</w:t>
      </w:r>
    </w:p>
    <w:bookmarkEnd w:id="2"/>
    <w:p w14:paraId="75B8EA18" w14:textId="77777777" w:rsidR="00E60021" w:rsidRPr="00C8383D" w:rsidRDefault="00E60021">
      <w:pPr>
        <w:spacing w:after="0" w:line="276" w:lineRule="auto"/>
        <w:jc w:val="both"/>
        <w:rPr>
          <w:noProof/>
        </w:rPr>
      </w:pPr>
    </w:p>
    <w:p w14:paraId="6D82DB08" w14:textId="77777777" w:rsidR="00E60021" w:rsidRPr="00C8383D" w:rsidRDefault="00E60021">
      <w:pPr>
        <w:spacing w:after="0" w:line="276" w:lineRule="auto"/>
        <w:rPr>
          <w:b/>
          <w:noProof/>
        </w:rPr>
      </w:pPr>
      <w:r w:rsidRPr="00C8383D">
        <w:rPr>
          <w:b/>
          <w:noProof/>
        </w:rPr>
        <w:t>1.5. Ummæli og ummælisskjal</w:t>
      </w:r>
    </w:p>
    <w:p w14:paraId="1C93D3F7" w14:textId="0911483C" w:rsidR="00E60021" w:rsidRPr="00C8383D" w:rsidRDefault="00E73922">
      <w:pPr>
        <w:spacing w:after="0" w:line="276" w:lineRule="auto"/>
        <w:jc w:val="both"/>
        <w:rPr>
          <w:noProof/>
        </w:rPr>
      </w:pPr>
      <w:r w:rsidRPr="00C8383D">
        <w:rPr>
          <w:noProof/>
        </w:rPr>
        <w:t>Hesi hava fingið uppskotið til ummælis:</w:t>
      </w:r>
    </w:p>
    <w:p w14:paraId="48CD57E5"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Akademikarafelag Føroya</w:t>
      </w:r>
    </w:p>
    <w:p w14:paraId="08B1BA45" w14:textId="77777777" w:rsidR="004E71E7" w:rsidRDefault="004E71E7">
      <w:pPr>
        <w:pStyle w:val="ListParagraph"/>
        <w:numPr>
          <w:ilvl w:val="0"/>
          <w:numId w:val="2"/>
        </w:numPr>
        <w:spacing w:after="0" w:line="276" w:lineRule="auto"/>
        <w:ind w:left="714" w:hanging="357"/>
        <w:contextualSpacing w:val="0"/>
        <w:jc w:val="both"/>
        <w:rPr>
          <w:noProof/>
        </w:rPr>
      </w:pPr>
      <w:r>
        <w:rPr>
          <w:noProof/>
        </w:rPr>
        <w:t>Almanna- og mentamálaráðið</w:t>
      </w:r>
    </w:p>
    <w:p w14:paraId="2543A6E2" w14:textId="26FE31B6"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 xml:space="preserve">Betri </w:t>
      </w:r>
      <w:r w:rsidR="000D42D4">
        <w:rPr>
          <w:noProof/>
        </w:rPr>
        <w:t>T</w:t>
      </w:r>
      <w:r w:rsidRPr="00C8383D">
        <w:rPr>
          <w:noProof/>
        </w:rPr>
        <w:t>rygging</w:t>
      </w:r>
    </w:p>
    <w:p w14:paraId="2F660053"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Bioanalytikarafelagið</w:t>
      </w:r>
    </w:p>
    <w:p w14:paraId="772729EB"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Búskapar- og Løgfrøðingafelag Føroya</w:t>
      </w:r>
    </w:p>
    <w:p w14:paraId="34801E4C" w14:textId="1386DEEE" w:rsidR="004E71E7" w:rsidRDefault="004E71E7">
      <w:pPr>
        <w:pStyle w:val="ListParagraph"/>
        <w:numPr>
          <w:ilvl w:val="0"/>
          <w:numId w:val="2"/>
        </w:numPr>
        <w:spacing w:after="0" w:line="276" w:lineRule="auto"/>
        <w:ind w:left="714" w:hanging="357"/>
        <w:contextualSpacing w:val="0"/>
        <w:jc w:val="both"/>
        <w:rPr>
          <w:noProof/>
        </w:rPr>
      </w:pPr>
      <w:r>
        <w:rPr>
          <w:noProof/>
        </w:rPr>
        <w:t>Tannlæknafelagið</w:t>
      </w:r>
    </w:p>
    <w:p w14:paraId="32172240"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Ergoterapeutfelagið</w:t>
      </w:r>
    </w:p>
    <w:p w14:paraId="3C89C685"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Fakfelag Sjómansskúlalærara í Føroyum</w:t>
      </w:r>
    </w:p>
    <w:p w14:paraId="0C91AAEB"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Felag Tænastumanna Landsins</w:t>
      </w:r>
    </w:p>
    <w:p w14:paraId="4B56C19A" w14:textId="77777777" w:rsidR="004E71E7" w:rsidRDefault="004E71E7">
      <w:pPr>
        <w:pStyle w:val="ListParagraph"/>
        <w:numPr>
          <w:ilvl w:val="0"/>
          <w:numId w:val="2"/>
        </w:numPr>
        <w:spacing w:after="0" w:line="276" w:lineRule="auto"/>
        <w:ind w:left="714" w:hanging="357"/>
        <w:contextualSpacing w:val="0"/>
        <w:jc w:val="both"/>
        <w:rPr>
          <w:noProof/>
        </w:rPr>
      </w:pPr>
      <w:r>
        <w:rPr>
          <w:noProof/>
        </w:rPr>
        <w:t>Felagið Føroyskir Sjúkrarøktarfrøðingar</w:t>
      </w:r>
    </w:p>
    <w:p w14:paraId="5A4E0EAE"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Felagið Maskinmeistaralærarar</w:t>
      </w:r>
    </w:p>
    <w:p w14:paraId="7F960BF6"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Fíggjarmálaráðið</w:t>
      </w:r>
    </w:p>
    <w:p w14:paraId="3A55EC01"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Føroya Arbeiðarafelag</w:t>
      </w:r>
    </w:p>
    <w:p w14:paraId="36E85656" w14:textId="3DDFFE6D" w:rsidR="000D42D4" w:rsidRDefault="000D42D4">
      <w:pPr>
        <w:pStyle w:val="ListParagraph"/>
        <w:numPr>
          <w:ilvl w:val="0"/>
          <w:numId w:val="2"/>
        </w:numPr>
        <w:spacing w:after="0" w:line="276" w:lineRule="auto"/>
        <w:ind w:left="714" w:hanging="357"/>
        <w:contextualSpacing w:val="0"/>
        <w:jc w:val="both"/>
        <w:rPr>
          <w:noProof/>
        </w:rPr>
      </w:pPr>
      <w:r>
        <w:rPr>
          <w:noProof/>
        </w:rPr>
        <w:t>Føroya Arbeiðsgevarafelag</w:t>
      </w:r>
    </w:p>
    <w:p w14:paraId="0D4BC426" w14:textId="651A241D"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Føroya Fiskimannafelag</w:t>
      </w:r>
    </w:p>
    <w:p w14:paraId="2EB09ADB"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Føroya Handverkarafelag</w:t>
      </w:r>
    </w:p>
    <w:p w14:paraId="48318E1D"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lastRenderedPageBreak/>
        <w:t>Føroya Lærarafelag</w:t>
      </w:r>
    </w:p>
    <w:p w14:paraId="3025BE1C" w14:textId="77777777" w:rsidR="004E71E7" w:rsidRDefault="004E71E7">
      <w:pPr>
        <w:pStyle w:val="ListParagraph"/>
        <w:numPr>
          <w:ilvl w:val="0"/>
          <w:numId w:val="2"/>
        </w:numPr>
        <w:spacing w:after="0" w:line="276" w:lineRule="auto"/>
        <w:ind w:left="714" w:hanging="357"/>
        <w:contextualSpacing w:val="0"/>
        <w:jc w:val="both"/>
        <w:rPr>
          <w:noProof/>
        </w:rPr>
      </w:pPr>
      <w:r>
        <w:rPr>
          <w:noProof/>
        </w:rPr>
        <w:t>Føroya Pedagogfelag</w:t>
      </w:r>
    </w:p>
    <w:p w14:paraId="32FB0E44" w14:textId="77777777" w:rsidR="004E71E7" w:rsidRDefault="004E71E7">
      <w:pPr>
        <w:pStyle w:val="ListParagraph"/>
        <w:numPr>
          <w:ilvl w:val="0"/>
          <w:numId w:val="2"/>
        </w:numPr>
        <w:spacing w:after="0" w:line="276" w:lineRule="auto"/>
        <w:ind w:left="714" w:hanging="357"/>
        <w:contextualSpacing w:val="0"/>
        <w:jc w:val="both"/>
        <w:rPr>
          <w:noProof/>
        </w:rPr>
      </w:pPr>
      <w:r>
        <w:rPr>
          <w:noProof/>
        </w:rPr>
        <w:t>Føroya Skipara- og navigatørfelag</w:t>
      </w:r>
    </w:p>
    <w:p w14:paraId="645F153A"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Føroya Tekniska Lærarafelag</w:t>
      </w:r>
    </w:p>
    <w:p w14:paraId="2EBE39B3"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Fysioterapeutfelag Føroya</w:t>
      </w:r>
    </w:p>
    <w:p w14:paraId="52B84385"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Havnar Arbeiðskvinnufelag</w:t>
      </w:r>
    </w:p>
    <w:p w14:paraId="020327B4"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Heilsuhjálparafelag Føroya</w:t>
      </w:r>
    </w:p>
    <w:p w14:paraId="4E16C476"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Heilsurøktarafelagið</w:t>
      </w:r>
    </w:p>
    <w:p w14:paraId="5A7BB2D1"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Hjálparlæknaráð Føroya</w:t>
      </w:r>
    </w:p>
    <w:p w14:paraId="5687E580"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Klaksvíkar Arbeiðskvinnufelag</w:t>
      </w:r>
    </w:p>
    <w:p w14:paraId="367C36B8" w14:textId="553082A0" w:rsidR="004E71E7" w:rsidRDefault="004E71E7">
      <w:pPr>
        <w:pStyle w:val="ListParagraph"/>
        <w:numPr>
          <w:ilvl w:val="0"/>
          <w:numId w:val="2"/>
        </w:numPr>
        <w:spacing w:after="0" w:line="276" w:lineRule="auto"/>
        <w:ind w:left="714" w:hanging="357"/>
        <w:contextualSpacing w:val="0"/>
        <w:jc w:val="both"/>
        <w:rPr>
          <w:noProof/>
        </w:rPr>
      </w:pPr>
      <w:r w:rsidRPr="00C8383D">
        <w:rPr>
          <w:noProof/>
        </w:rPr>
        <w:t>Klaksvíkar Arbeiðsmannafelag</w:t>
      </w:r>
    </w:p>
    <w:p w14:paraId="41100499" w14:textId="15610667" w:rsidR="000D42D4" w:rsidRPr="00C8383D" w:rsidRDefault="000D42D4">
      <w:pPr>
        <w:pStyle w:val="ListParagraph"/>
        <w:numPr>
          <w:ilvl w:val="0"/>
          <w:numId w:val="2"/>
        </w:numPr>
        <w:spacing w:after="0" w:line="276" w:lineRule="auto"/>
        <w:ind w:left="714" w:hanging="357"/>
        <w:contextualSpacing w:val="0"/>
        <w:jc w:val="both"/>
        <w:rPr>
          <w:noProof/>
        </w:rPr>
      </w:pPr>
      <w:r>
        <w:rPr>
          <w:noProof/>
        </w:rPr>
        <w:t>Kommunala Arbeiðagevarafelagið</w:t>
      </w:r>
    </w:p>
    <w:p w14:paraId="564BF4CD"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Kommunulæknafelag Føroya</w:t>
      </w:r>
    </w:p>
    <w:p w14:paraId="3AFB5303"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Kost- og føðslufelagið</w:t>
      </w:r>
    </w:p>
    <w:p w14:paraId="56AC5B34" w14:textId="77777777" w:rsidR="004E71E7" w:rsidRDefault="004E71E7">
      <w:pPr>
        <w:pStyle w:val="ListParagraph"/>
        <w:numPr>
          <w:ilvl w:val="0"/>
          <w:numId w:val="2"/>
        </w:numPr>
        <w:spacing w:after="0" w:line="276" w:lineRule="auto"/>
        <w:ind w:left="714" w:hanging="357"/>
        <w:contextualSpacing w:val="0"/>
        <w:jc w:val="both"/>
        <w:rPr>
          <w:noProof/>
        </w:rPr>
      </w:pPr>
      <w:r>
        <w:rPr>
          <w:noProof/>
        </w:rPr>
        <w:t>Landsfelag Handverkaranna</w:t>
      </w:r>
    </w:p>
    <w:p w14:paraId="2D33ADD0"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Leikarafelag Føroya</w:t>
      </w:r>
    </w:p>
    <w:p w14:paraId="329FC8D3"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LÍV</w:t>
      </w:r>
    </w:p>
    <w:p w14:paraId="36E80C56"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Ljósmøðrafelag Føroya</w:t>
      </w:r>
    </w:p>
    <w:p w14:paraId="2617D138" w14:textId="77777777" w:rsidR="004E71E7" w:rsidRDefault="004E71E7">
      <w:pPr>
        <w:pStyle w:val="ListParagraph"/>
        <w:numPr>
          <w:ilvl w:val="0"/>
          <w:numId w:val="2"/>
        </w:numPr>
        <w:spacing w:after="0" w:line="276" w:lineRule="auto"/>
        <w:ind w:left="714" w:hanging="357"/>
        <w:contextualSpacing w:val="0"/>
        <w:jc w:val="both"/>
        <w:rPr>
          <w:noProof/>
        </w:rPr>
      </w:pPr>
      <w:r>
        <w:rPr>
          <w:noProof/>
        </w:rPr>
        <w:t>Maskinmeistarafelagið</w:t>
      </w:r>
    </w:p>
    <w:p w14:paraId="7AC20783"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Musikklærarafelag Føroya</w:t>
      </w:r>
    </w:p>
    <w:p w14:paraId="2A4E43F9"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Prestafelag Føroya</w:t>
      </w:r>
    </w:p>
    <w:p w14:paraId="17926ABF" w14:textId="463F5264" w:rsidR="004E71E7" w:rsidRDefault="004E71E7">
      <w:pPr>
        <w:pStyle w:val="ListParagraph"/>
        <w:numPr>
          <w:ilvl w:val="0"/>
          <w:numId w:val="2"/>
        </w:numPr>
        <w:spacing w:after="0" w:line="276" w:lineRule="auto"/>
        <w:ind w:left="714" w:hanging="357"/>
        <w:contextualSpacing w:val="0"/>
        <w:jc w:val="both"/>
        <w:rPr>
          <w:noProof/>
        </w:rPr>
      </w:pPr>
      <w:r w:rsidRPr="00C8383D">
        <w:rPr>
          <w:noProof/>
        </w:rPr>
        <w:t>Samtak</w:t>
      </w:r>
    </w:p>
    <w:p w14:paraId="0648B048" w14:textId="2689A42F" w:rsidR="000D42D4" w:rsidRPr="00C8383D" w:rsidRDefault="000D42D4">
      <w:pPr>
        <w:pStyle w:val="ListParagraph"/>
        <w:numPr>
          <w:ilvl w:val="0"/>
          <w:numId w:val="2"/>
        </w:numPr>
        <w:spacing w:after="0" w:line="276" w:lineRule="auto"/>
        <w:ind w:left="714" w:hanging="357"/>
        <w:contextualSpacing w:val="0"/>
        <w:jc w:val="both"/>
        <w:rPr>
          <w:noProof/>
        </w:rPr>
      </w:pPr>
      <w:r>
        <w:rPr>
          <w:noProof/>
        </w:rPr>
        <w:t>Samverk</w:t>
      </w:r>
    </w:p>
    <w:p w14:paraId="6715E4B5"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Serlæknafelag Føroya</w:t>
      </w:r>
    </w:p>
    <w:p w14:paraId="212F533C" w14:textId="77777777" w:rsidR="004E71E7" w:rsidRDefault="004E71E7">
      <w:pPr>
        <w:pStyle w:val="ListParagraph"/>
        <w:numPr>
          <w:ilvl w:val="0"/>
          <w:numId w:val="2"/>
        </w:numPr>
        <w:spacing w:after="0" w:line="276" w:lineRule="auto"/>
        <w:ind w:left="714" w:hanging="357"/>
        <w:contextualSpacing w:val="0"/>
        <w:jc w:val="both"/>
        <w:rPr>
          <w:noProof/>
        </w:rPr>
      </w:pPr>
      <w:r>
        <w:rPr>
          <w:noProof/>
        </w:rPr>
        <w:t>Starvsfelagið</w:t>
      </w:r>
    </w:p>
    <w:p w14:paraId="2F98DEDE" w14:textId="77777777" w:rsidR="004E71E7" w:rsidRPr="00C8383D" w:rsidRDefault="004E71E7">
      <w:pPr>
        <w:pStyle w:val="ListParagraph"/>
        <w:numPr>
          <w:ilvl w:val="0"/>
          <w:numId w:val="2"/>
        </w:numPr>
        <w:spacing w:after="0" w:line="276" w:lineRule="auto"/>
        <w:ind w:left="714" w:hanging="357"/>
        <w:contextualSpacing w:val="0"/>
        <w:jc w:val="both"/>
        <w:rPr>
          <w:noProof/>
        </w:rPr>
      </w:pPr>
      <w:r w:rsidRPr="00C8383D">
        <w:rPr>
          <w:noProof/>
        </w:rPr>
        <w:t>Trygd</w:t>
      </w:r>
    </w:p>
    <w:p w14:paraId="16AABBB9" w14:textId="77777777" w:rsidR="004E71E7" w:rsidRDefault="004E71E7">
      <w:pPr>
        <w:pStyle w:val="ListParagraph"/>
        <w:numPr>
          <w:ilvl w:val="0"/>
          <w:numId w:val="2"/>
        </w:numPr>
        <w:spacing w:after="0" w:line="276" w:lineRule="auto"/>
        <w:ind w:left="714" w:hanging="357"/>
        <w:contextualSpacing w:val="0"/>
        <w:jc w:val="both"/>
        <w:rPr>
          <w:noProof/>
        </w:rPr>
      </w:pPr>
      <w:r w:rsidRPr="00C8383D">
        <w:rPr>
          <w:noProof/>
        </w:rPr>
        <w:t>Vanlukkutryggingarráðið</w:t>
      </w:r>
    </w:p>
    <w:p w14:paraId="2EF07037" w14:textId="096C6669" w:rsidR="004E71E7" w:rsidRDefault="004E71E7">
      <w:pPr>
        <w:pStyle w:val="ListParagraph"/>
        <w:numPr>
          <w:ilvl w:val="0"/>
          <w:numId w:val="2"/>
        </w:numPr>
        <w:spacing w:after="0" w:line="276" w:lineRule="auto"/>
        <w:ind w:left="714" w:hanging="357"/>
        <w:contextualSpacing w:val="0"/>
        <w:jc w:val="both"/>
        <w:rPr>
          <w:noProof/>
        </w:rPr>
      </w:pPr>
      <w:r>
        <w:rPr>
          <w:noProof/>
        </w:rPr>
        <w:t>Vinnuhúsið</w:t>
      </w:r>
    </w:p>
    <w:p w14:paraId="1EA17AA0" w14:textId="49229D82" w:rsidR="000D42D4" w:rsidRDefault="000D42D4">
      <w:pPr>
        <w:pStyle w:val="ListParagraph"/>
        <w:numPr>
          <w:ilvl w:val="0"/>
          <w:numId w:val="2"/>
        </w:numPr>
        <w:spacing w:after="0" w:line="276" w:lineRule="auto"/>
        <w:ind w:left="714" w:hanging="357"/>
        <w:contextualSpacing w:val="0"/>
        <w:jc w:val="both"/>
        <w:rPr>
          <w:noProof/>
        </w:rPr>
      </w:pPr>
      <w:r>
        <w:rPr>
          <w:noProof/>
        </w:rPr>
        <w:t>YTF (Yrkisfelag hjá tryggingarfeløgum, fíggjarstovnum og KT-fyritøkum)</w:t>
      </w:r>
    </w:p>
    <w:p w14:paraId="6E375C55" w14:textId="5F168057" w:rsidR="00E60021" w:rsidRDefault="004E71E7">
      <w:pPr>
        <w:pStyle w:val="ListParagraph"/>
        <w:numPr>
          <w:ilvl w:val="0"/>
          <w:numId w:val="2"/>
        </w:numPr>
        <w:spacing w:after="0" w:line="276" w:lineRule="auto"/>
        <w:ind w:left="714" w:hanging="357"/>
        <w:contextualSpacing w:val="0"/>
        <w:jc w:val="both"/>
        <w:rPr>
          <w:noProof/>
        </w:rPr>
      </w:pPr>
      <w:r>
        <w:rPr>
          <w:noProof/>
        </w:rPr>
        <w:t>Yrkisfelagið Miðnám</w:t>
      </w:r>
    </w:p>
    <w:p w14:paraId="07437B3D" w14:textId="1B3A370A" w:rsidR="00680FEB" w:rsidRDefault="00680FEB">
      <w:pPr>
        <w:spacing w:after="0"/>
        <w:rPr>
          <w:b/>
          <w:noProof/>
        </w:rPr>
      </w:pPr>
    </w:p>
    <w:p w14:paraId="235E3F45" w14:textId="77777777" w:rsidR="00582E1F" w:rsidRDefault="00582E1F">
      <w:pPr>
        <w:spacing w:after="0"/>
        <w:rPr>
          <w:b/>
          <w:noProof/>
        </w:rPr>
      </w:pPr>
    </w:p>
    <w:p w14:paraId="67A482DA" w14:textId="77777777" w:rsidR="00582E1F" w:rsidRDefault="00582E1F">
      <w:pPr>
        <w:spacing w:after="0" w:line="276" w:lineRule="auto"/>
        <w:rPr>
          <w:b/>
          <w:noProof/>
        </w:rPr>
      </w:pPr>
    </w:p>
    <w:p w14:paraId="0E198571" w14:textId="04771670" w:rsidR="00E60021" w:rsidRDefault="00E60021">
      <w:pPr>
        <w:spacing w:after="0" w:line="276" w:lineRule="auto"/>
        <w:rPr>
          <w:b/>
          <w:noProof/>
        </w:rPr>
      </w:pPr>
      <w:r w:rsidRPr="00C8383D">
        <w:rPr>
          <w:b/>
          <w:noProof/>
        </w:rPr>
        <w:t>Kapittul 2. Avleiðingarnar av uppskotinum</w:t>
      </w:r>
    </w:p>
    <w:p w14:paraId="55BF57F0" w14:textId="77777777" w:rsidR="00680FEB" w:rsidRPr="00C8383D" w:rsidRDefault="00680FEB">
      <w:pPr>
        <w:spacing w:after="0" w:line="276" w:lineRule="auto"/>
        <w:rPr>
          <w:b/>
          <w:noProof/>
        </w:rPr>
      </w:pPr>
    </w:p>
    <w:p w14:paraId="1AE95EEE" w14:textId="77777777" w:rsidR="00E60021" w:rsidRPr="00C8383D" w:rsidRDefault="00E60021">
      <w:pPr>
        <w:spacing w:after="0" w:line="276" w:lineRule="auto"/>
        <w:rPr>
          <w:b/>
          <w:noProof/>
        </w:rPr>
      </w:pPr>
      <w:r w:rsidRPr="00C8383D">
        <w:rPr>
          <w:b/>
          <w:noProof/>
        </w:rPr>
        <w:t>2.1. Fíggjarligar avleiðingar fyri land og kommunur</w:t>
      </w:r>
    </w:p>
    <w:p w14:paraId="23238205" w14:textId="4D4CA3C0" w:rsidR="00E2692F" w:rsidRDefault="002161D6">
      <w:pPr>
        <w:spacing w:after="0" w:line="276" w:lineRule="auto"/>
        <w:jc w:val="both"/>
        <w:rPr>
          <w:noProof/>
        </w:rPr>
      </w:pPr>
      <w:r>
        <w:rPr>
          <w:noProof/>
        </w:rPr>
        <w:t>Uppskotið hevur ikki beinleiðis fíggjarligar avleiðingar fyri land og kommunur. Tó er hugsandi, at tryggingarfeløgini</w:t>
      </w:r>
      <w:r w:rsidR="00E2692F">
        <w:rPr>
          <w:noProof/>
        </w:rPr>
        <w:t xml:space="preserve">, sum selja vanlukkutryggingar sambært </w:t>
      </w:r>
      <w:r w:rsidR="00ED4013">
        <w:rPr>
          <w:noProof/>
        </w:rPr>
        <w:t>Arbeiðsskaðatryggingarlóg</w:t>
      </w:r>
      <w:r w:rsidR="00E2692F">
        <w:rPr>
          <w:noProof/>
        </w:rPr>
        <w:t>ini,</w:t>
      </w:r>
      <w:r>
        <w:rPr>
          <w:noProof/>
        </w:rPr>
        <w:t xml:space="preserve"> fara at hækka trygginga</w:t>
      </w:r>
      <w:r w:rsidR="007E220B">
        <w:rPr>
          <w:noProof/>
        </w:rPr>
        <w:t>r</w:t>
      </w:r>
      <w:r>
        <w:rPr>
          <w:noProof/>
        </w:rPr>
        <w:t>gjøldini nakað, orsaka</w:t>
      </w:r>
      <w:r w:rsidR="00885451">
        <w:rPr>
          <w:noProof/>
        </w:rPr>
        <w:t>ð</w:t>
      </w:r>
      <w:r>
        <w:rPr>
          <w:noProof/>
        </w:rPr>
        <w:t xml:space="preserve"> av lógarbroytingini. Við tað</w:t>
      </w:r>
      <w:r w:rsidR="00E2692F">
        <w:rPr>
          <w:noProof/>
        </w:rPr>
        <w:t>,</w:t>
      </w:r>
      <w:r>
        <w:rPr>
          <w:noProof/>
        </w:rPr>
        <w:t xml:space="preserve"> at kommunur</w:t>
      </w:r>
      <w:r w:rsidR="004E33F1">
        <w:rPr>
          <w:noProof/>
        </w:rPr>
        <w:t xml:space="preserve"> sambært </w:t>
      </w:r>
      <w:r w:rsidR="00ED4013">
        <w:rPr>
          <w:noProof/>
        </w:rPr>
        <w:t>løgtingslóg</w:t>
      </w:r>
      <w:r w:rsidR="004E33F1">
        <w:rPr>
          <w:noProof/>
        </w:rPr>
        <w:t>ini hava skyldu at tekna tryggingar fyri síni starvsfólk</w:t>
      </w:r>
      <w:r>
        <w:rPr>
          <w:noProof/>
        </w:rPr>
        <w:t xml:space="preserve">, kann talan </w:t>
      </w:r>
      <w:r w:rsidR="00E2692F">
        <w:rPr>
          <w:noProof/>
        </w:rPr>
        <w:t>soleiðis</w:t>
      </w:r>
      <w:r>
        <w:rPr>
          <w:noProof/>
        </w:rPr>
        <w:t xml:space="preserve"> gerast um eina økta útreiðslu</w:t>
      </w:r>
      <w:r w:rsidR="004E33F1">
        <w:rPr>
          <w:noProof/>
        </w:rPr>
        <w:t xml:space="preserve"> fyri kommunur. </w:t>
      </w:r>
    </w:p>
    <w:p w14:paraId="3C912945" w14:textId="77777777" w:rsidR="00E2692F" w:rsidRDefault="00E2692F">
      <w:pPr>
        <w:spacing w:after="0" w:line="276" w:lineRule="auto"/>
        <w:jc w:val="both"/>
        <w:rPr>
          <w:noProof/>
        </w:rPr>
      </w:pPr>
    </w:p>
    <w:p w14:paraId="196848B0" w14:textId="39D8EFC4" w:rsidR="002161D6" w:rsidRDefault="004E33F1">
      <w:pPr>
        <w:spacing w:after="0" w:line="276" w:lineRule="auto"/>
        <w:jc w:val="both"/>
        <w:rPr>
          <w:noProof/>
        </w:rPr>
      </w:pPr>
      <w:r>
        <w:rPr>
          <w:noProof/>
        </w:rPr>
        <w:lastRenderedPageBreak/>
        <w:t>Landið hevur ikki skyldu til at tekna tryggingar fyri síni starvsfólk, men í tann mun landið er skyldugt at rinda e</w:t>
      </w:r>
      <w:r w:rsidRPr="004E33F1">
        <w:rPr>
          <w:noProof/>
        </w:rPr>
        <w:t xml:space="preserve">ndurgjald fyri mist vinnuføri, </w:t>
      </w:r>
      <w:r>
        <w:rPr>
          <w:noProof/>
        </w:rPr>
        <w:t>v</w:t>
      </w:r>
      <w:r w:rsidRPr="004E33F1">
        <w:rPr>
          <w:noProof/>
        </w:rPr>
        <w:t>ið framhaldandi árlig</w:t>
      </w:r>
      <w:r>
        <w:rPr>
          <w:noProof/>
        </w:rPr>
        <w:t>ari</w:t>
      </w:r>
      <w:r w:rsidRPr="004E33F1">
        <w:rPr>
          <w:noProof/>
        </w:rPr>
        <w:t xml:space="preserve"> veiting</w:t>
      </w:r>
      <w:r>
        <w:rPr>
          <w:noProof/>
        </w:rPr>
        <w:t>, verður útreiðslan størri enn áður, við tað at upphæddin ikki longur</w:t>
      </w:r>
      <w:r w:rsidR="00692A0F">
        <w:rPr>
          <w:noProof/>
        </w:rPr>
        <w:t xml:space="preserve">, </w:t>
      </w:r>
      <w:r>
        <w:rPr>
          <w:noProof/>
        </w:rPr>
        <w:t>sum frá líður</w:t>
      </w:r>
      <w:r w:rsidR="00692A0F">
        <w:rPr>
          <w:noProof/>
        </w:rPr>
        <w:t>, fer at minka</w:t>
      </w:r>
      <w:r>
        <w:rPr>
          <w:noProof/>
        </w:rPr>
        <w:t xml:space="preserve"> í </w:t>
      </w:r>
      <w:r w:rsidR="00692A0F">
        <w:rPr>
          <w:noProof/>
        </w:rPr>
        <w:t>real</w:t>
      </w:r>
      <w:r>
        <w:rPr>
          <w:noProof/>
        </w:rPr>
        <w:t>virði</w:t>
      </w:r>
      <w:r w:rsidR="00E2692F">
        <w:rPr>
          <w:noProof/>
        </w:rPr>
        <w:t xml:space="preserve"> og við tað, at útgjaldstíðarskeiðið verður longri.</w:t>
      </w:r>
    </w:p>
    <w:p w14:paraId="0735C4CC" w14:textId="77777777" w:rsidR="00E60021" w:rsidRPr="00C8383D" w:rsidRDefault="00E60021">
      <w:pPr>
        <w:spacing w:after="0" w:line="276" w:lineRule="auto"/>
        <w:jc w:val="both"/>
        <w:rPr>
          <w:noProof/>
        </w:rPr>
      </w:pPr>
    </w:p>
    <w:p w14:paraId="34CB711F" w14:textId="77777777" w:rsidR="00E60021" w:rsidRPr="00C8383D" w:rsidRDefault="00E60021">
      <w:pPr>
        <w:spacing w:after="0" w:line="276" w:lineRule="auto"/>
        <w:rPr>
          <w:b/>
          <w:noProof/>
        </w:rPr>
      </w:pPr>
      <w:r w:rsidRPr="00C8383D">
        <w:rPr>
          <w:b/>
          <w:noProof/>
        </w:rPr>
        <w:t>2.2. Umsitingarligar avleiðingar fyri land og kommunur</w:t>
      </w:r>
    </w:p>
    <w:p w14:paraId="391EDB8A" w14:textId="03D6F0CB" w:rsidR="00E60021" w:rsidRPr="00C8383D" w:rsidRDefault="00692A0F">
      <w:pPr>
        <w:spacing w:after="0" w:line="276" w:lineRule="auto"/>
        <w:jc w:val="both"/>
        <w:rPr>
          <w:noProof/>
        </w:rPr>
      </w:pPr>
      <w:r>
        <w:rPr>
          <w:noProof/>
        </w:rPr>
        <w:t>Uppskotið hevur ongar umsitingarligar avleiðingar fyri land og kommunur. Vanlukkutryggingarráðið</w:t>
      </w:r>
      <w:r w:rsidR="00885451">
        <w:rPr>
          <w:noProof/>
        </w:rPr>
        <w:t xml:space="preserve"> ger tilmæli til landsstýrismannin um javning eftir nærri reglum í </w:t>
      </w:r>
      <w:r w:rsidR="00ED4013">
        <w:rPr>
          <w:noProof/>
        </w:rPr>
        <w:t>løgtingslóg</w:t>
      </w:r>
      <w:r w:rsidR="00885451">
        <w:rPr>
          <w:noProof/>
        </w:rPr>
        <w:t>ini, og uppgávan hjá landsstýrismanninum er at staðfesta tilmæli</w:t>
      </w:r>
      <w:r w:rsidR="00A8411B">
        <w:rPr>
          <w:noProof/>
        </w:rPr>
        <w:t>ð</w:t>
      </w:r>
      <w:r w:rsidR="00885451">
        <w:rPr>
          <w:noProof/>
        </w:rPr>
        <w:t xml:space="preserve">, sum Vanlukkutryggingarráðið síðani almannkunngerð sambært áseting í </w:t>
      </w:r>
      <w:r w:rsidR="00ED4013">
        <w:rPr>
          <w:noProof/>
        </w:rPr>
        <w:t>løgtingslóg</w:t>
      </w:r>
      <w:r w:rsidR="00885451">
        <w:rPr>
          <w:noProof/>
        </w:rPr>
        <w:t xml:space="preserve">ini. </w:t>
      </w:r>
      <w:r w:rsidR="000F717F">
        <w:rPr>
          <w:noProof/>
        </w:rPr>
        <w:t>U</w:t>
      </w:r>
      <w:r w:rsidR="00885451">
        <w:rPr>
          <w:noProof/>
        </w:rPr>
        <w:t xml:space="preserve">ppgávan hjá landsstýrismanninum </w:t>
      </w:r>
      <w:r w:rsidR="000F717F">
        <w:rPr>
          <w:noProof/>
        </w:rPr>
        <w:t xml:space="preserve">verður sostatt </w:t>
      </w:r>
      <w:r w:rsidR="00885451">
        <w:rPr>
          <w:noProof/>
        </w:rPr>
        <w:t>óbroytt.</w:t>
      </w:r>
    </w:p>
    <w:p w14:paraId="73876054" w14:textId="77777777" w:rsidR="00E60021" w:rsidRPr="00C8383D" w:rsidRDefault="00E60021">
      <w:pPr>
        <w:spacing w:after="0" w:line="276" w:lineRule="auto"/>
        <w:jc w:val="both"/>
        <w:rPr>
          <w:noProof/>
        </w:rPr>
      </w:pPr>
    </w:p>
    <w:p w14:paraId="2B876CAE" w14:textId="77777777" w:rsidR="00E60021" w:rsidRPr="00C8383D" w:rsidRDefault="00E60021">
      <w:pPr>
        <w:spacing w:after="0" w:line="276" w:lineRule="auto"/>
        <w:rPr>
          <w:b/>
          <w:noProof/>
        </w:rPr>
      </w:pPr>
      <w:r w:rsidRPr="00C8383D">
        <w:rPr>
          <w:b/>
          <w:noProof/>
        </w:rPr>
        <w:t>2.3. Avleiðingar fyri vinnuna</w:t>
      </w:r>
    </w:p>
    <w:p w14:paraId="2F20AF20" w14:textId="4A14C8DC" w:rsidR="00E60021" w:rsidRPr="00C8383D" w:rsidRDefault="00885451">
      <w:pPr>
        <w:spacing w:after="0" w:line="276" w:lineRule="auto"/>
        <w:jc w:val="both"/>
        <w:rPr>
          <w:noProof/>
        </w:rPr>
      </w:pPr>
      <w:r>
        <w:rPr>
          <w:noProof/>
        </w:rPr>
        <w:t xml:space="preserve">Uppskotið hevur fíggjarligar avleiðingar fyri </w:t>
      </w:r>
      <w:r w:rsidR="00050599">
        <w:rPr>
          <w:noProof/>
        </w:rPr>
        <w:t>tryggingarfeløgini, sum skulu rinda meira út í endurgjøldum, ið vera veitt sum framhaldandi árlig veiting</w:t>
      </w:r>
      <w:r>
        <w:rPr>
          <w:noProof/>
        </w:rPr>
        <w:t xml:space="preserve">. </w:t>
      </w:r>
      <w:r w:rsidR="00050599">
        <w:rPr>
          <w:noProof/>
        </w:rPr>
        <w:t xml:space="preserve">Tí </w:t>
      </w:r>
      <w:r>
        <w:rPr>
          <w:noProof/>
        </w:rPr>
        <w:t xml:space="preserve">er </w:t>
      </w:r>
      <w:r w:rsidR="00050599">
        <w:rPr>
          <w:noProof/>
        </w:rPr>
        <w:t>væntandi</w:t>
      </w:r>
      <w:r>
        <w:rPr>
          <w:noProof/>
        </w:rPr>
        <w:t xml:space="preserve">, at tryggingarfeløgini fara at hækka tryggingagjøldini nakað, orsakað av lógarbroytingini. Við tað at arbeiðsgevarar sambært </w:t>
      </w:r>
      <w:r w:rsidR="00ED4013">
        <w:rPr>
          <w:noProof/>
        </w:rPr>
        <w:t>løgtingslóg</w:t>
      </w:r>
      <w:r>
        <w:rPr>
          <w:noProof/>
        </w:rPr>
        <w:t xml:space="preserve">ini hava skyldu at tekna tryggingar fyri síni starvsfólk, kann talan </w:t>
      </w:r>
      <w:r w:rsidR="00050599">
        <w:rPr>
          <w:noProof/>
        </w:rPr>
        <w:t xml:space="preserve">soleiðis </w:t>
      </w:r>
      <w:r>
        <w:rPr>
          <w:noProof/>
        </w:rPr>
        <w:t xml:space="preserve">gerast um eina </w:t>
      </w:r>
      <w:r w:rsidR="00050599">
        <w:rPr>
          <w:noProof/>
        </w:rPr>
        <w:t xml:space="preserve">nakað </w:t>
      </w:r>
      <w:r>
        <w:rPr>
          <w:noProof/>
        </w:rPr>
        <w:t>økta útreiðslu fyri vinnuna.</w:t>
      </w:r>
    </w:p>
    <w:p w14:paraId="13EB3851" w14:textId="77777777" w:rsidR="00E60021" w:rsidRPr="00C8383D" w:rsidRDefault="00E60021">
      <w:pPr>
        <w:spacing w:after="0" w:line="276" w:lineRule="auto"/>
        <w:jc w:val="both"/>
        <w:rPr>
          <w:noProof/>
        </w:rPr>
      </w:pPr>
    </w:p>
    <w:p w14:paraId="41DC3F29" w14:textId="77777777" w:rsidR="00E60021" w:rsidRPr="00C8383D" w:rsidRDefault="00E60021">
      <w:pPr>
        <w:spacing w:after="0" w:line="276" w:lineRule="auto"/>
        <w:rPr>
          <w:b/>
          <w:noProof/>
        </w:rPr>
      </w:pPr>
      <w:r w:rsidRPr="00C8383D">
        <w:rPr>
          <w:b/>
          <w:noProof/>
        </w:rPr>
        <w:t>2.4. Avleiðingar fyri umhvørvið</w:t>
      </w:r>
    </w:p>
    <w:p w14:paraId="4642E3D1" w14:textId="078428A4" w:rsidR="00E60021" w:rsidRPr="00C8383D" w:rsidRDefault="00885451">
      <w:pPr>
        <w:spacing w:after="0" w:line="276" w:lineRule="auto"/>
        <w:jc w:val="both"/>
        <w:rPr>
          <w:noProof/>
        </w:rPr>
      </w:pPr>
      <w:r>
        <w:rPr>
          <w:noProof/>
        </w:rPr>
        <w:t>Uppskotið hevur ongar avleiðingar fyri umhvørvið.</w:t>
      </w:r>
    </w:p>
    <w:p w14:paraId="0F2AB593" w14:textId="77777777" w:rsidR="00E60021" w:rsidRPr="00C8383D" w:rsidRDefault="00E60021">
      <w:pPr>
        <w:spacing w:after="0" w:line="276" w:lineRule="auto"/>
        <w:jc w:val="both"/>
        <w:rPr>
          <w:noProof/>
        </w:rPr>
      </w:pPr>
    </w:p>
    <w:p w14:paraId="74848A69" w14:textId="77777777" w:rsidR="00E60021" w:rsidRPr="00C8383D" w:rsidRDefault="00E60021">
      <w:pPr>
        <w:spacing w:after="0" w:line="276" w:lineRule="auto"/>
        <w:rPr>
          <w:b/>
          <w:noProof/>
        </w:rPr>
      </w:pPr>
      <w:r w:rsidRPr="00C8383D">
        <w:rPr>
          <w:b/>
          <w:noProof/>
        </w:rPr>
        <w:t>2.5. Avleiðingar fyri serstøk øki í landinum</w:t>
      </w:r>
    </w:p>
    <w:p w14:paraId="1F088F2F" w14:textId="47B244E7" w:rsidR="00E60021" w:rsidRDefault="00885451">
      <w:pPr>
        <w:spacing w:after="0" w:line="276" w:lineRule="auto"/>
        <w:jc w:val="both"/>
        <w:rPr>
          <w:noProof/>
        </w:rPr>
      </w:pPr>
      <w:r>
        <w:rPr>
          <w:noProof/>
        </w:rPr>
        <w:t>Uppskotið hevur ongar avleiðingar fyri serstøk øki í landinum.</w:t>
      </w:r>
    </w:p>
    <w:p w14:paraId="4E30379F" w14:textId="77777777" w:rsidR="00885451" w:rsidRPr="00C8383D" w:rsidRDefault="00885451">
      <w:pPr>
        <w:spacing w:after="0" w:line="276" w:lineRule="auto"/>
        <w:jc w:val="both"/>
        <w:rPr>
          <w:noProof/>
        </w:rPr>
      </w:pPr>
    </w:p>
    <w:p w14:paraId="2669D0F2" w14:textId="77777777" w:rsidR="00E60021" w:rsidRPr="00C8383D" w:rsidRDefault="00E60021">
      <w:pPr>
        <w:spacing w:after="0" w:line="276" w:lineRule="auto"/>
        <w:rPr>
          <w:b/>
          <w:noProof/>
        </w:rPr>
      </w:pPr>
      <w:r w:rsidRPr="00C8383D">
        <w:rPr>
          <w:b/>
          <w:noProof/>
        </w:rPr>
        <w:t>2.6. Avleiðingar fyri ávísar samfelagsbólkar ella felagsskapir</w:t>
      </w:r>
    </w:p>
    <w:p w14:paraId="05CE6258" w14:textId="3FEA552C" w:rsidR="00E60021" w:rsidRPr="00C8383D" w:rsidRDefault="00885451">
      <w:pPr>
        <w:spacing w:after="0" w:line="276" w:lineRule="auto"/>
        <w:jc w:val="both"/>
        <w:rPr>
          <w:noProof/>
        </w:rPr>
      </w:pPr>
      <w:r>
        <w:rPr>
          <w:noProof/>
        </w:rPr>
        <w:t xml:space="preserve">Uppskotið bøtir um viðurskiftini hjá </w:t>
      </w:r>
      <w:r w:rsidR="006B6F06">
        <w:rPr>
          <w:noProof/>
        </w:rPr>
        <w:t>teimum</w:t>
      </w:r>
      <w:r>
        <w:rPr>
          <w:noProof/>
        </w:rPr>
        <w:t xml:space="preserve">, </w:t>
      </w:r>
      <w:r w:rsidR="007E220B">
        <w:rPr>
          <w:noProof/>
        </w:rPr>
        <w:t xml:space="preserve">ið </w:t>
      </w:r>
      <w:r>
        <w:rPr>
          <w:noProof/>
        </w:rPr>
        <w:t>fáa endurgjald fyri mist vinnuføri útgoldið sum framhaldandi árliga veiting. Áður hava hesi uppliva</w:t>
      </w:r>
      <w:r w:rsidR="007B21E9">
        <w:rPr>
          <w:noProof/>
        </w:rPr>
        <w:t>ð</w:t>
      </w:r>
      <w:r>
        <w:rPr>
          <w:noProof/>
        </w:rPr>
        <w:t>, at veitingin sum frá líður gerst minni og minni verd</w:t>
      </w:r>
      <w:r w:rsidR="002A311D">
        <w:rPr>
          <w:noProof/>
        </w:rPr>
        <w:t>.</w:t>
      </w:r>
      <w:r w:rsidR="00050599">
        <w:rPr>
          <w:noProof/>
        </w:rPr>
        <w:t xml:space="preserve"> </w:t>
      </w:r>
      <w:r w:rsidR="002A311D">
        <w:rPr>
          <w:noProof/>
        </w:rPr>
        <w:t>V</w:t>
      </w:r>
      <w:r>
        <w:rPr>
          <w:noProof/>
        </w:rPr>
        <w:t xml:space="preserve">ið broytingini </w:t>
      </w:r>
      <w:r w:rsidR="000B2A48">
        <w:rPr>
          <w:noProof/>
        </w:rPr>
        <w:t xml:space="preserve">verður </w:t>
      </w:r>
      <w:r>
        <w:rPr>
          <w:noProof/>
        </w:rPr>
        <w:t>veitingin javnað, soleiðis at hon hækkar í samsvari við lønarvøksturin í samfelagnum.</w:t>
      </w:r>
    </w:p>
    <w:p w14:paraId="599F86BA" w14:textId="77777777" w:rsidR="00E60021" w:rsidRPr="00C8383D" w:rsidRDefault="00E60021">
      <w:pPr>
        <w:spacing w:after="0" w:line="276" w:lineRule="auto"/>
        <w:jc w:val="both"/>
        <w:rPr>
          <w:noProof/>
        </w:rPr>
      </w:pPr>
    </w:p>
    <w:p w14:paraId="58006411" w14:textId="1A6342C4" w:rsidR="00E60021" w:rsidRPr="00C8383D" w:rsidRDefault="00E60021">
      <w:pPr>
        <w:spacing w:after="0" w:line="276" w:lineRule="auto"/>
        <w:rPr>
          <w:b/>
          <w:noProof/>
        </w:rPr>
      </w:pPr>
      <w:r w:rsidRPr="00C8383D">
        <w:rPr>
          <w:b/>
          <w:noProof/>
        </w:rPr>
        <w:t>2.7. Millumtjóðasáttmálar á økinum</w:t>
      </w:r>
    </w:p>
    <w:p w14:paraId="2F6F8D3D" w14:textId="5BF4104B" w:rsidR="00E60021" w:rsidRDefault="00EE0487">
      <w:pPr>
        <w:spacing w:after="0" w:line="276" w:lineRule="auto"/>
        <w:jc w:val="both"/>
        <w:rPr>
          <w:noProof/>
        </w:rPr>
      </w:pPr>
      <w:r>
        <w:rPr>
          <w:noProof/>
        </w:rPr>
        <w:t>Økið er fevnt av ILO sáttmála nr. 19</w:t>
      </w:r>
      <w:r w:rsidR="005154E2">
        <w:rPr>
          <w:noProof/>
        </w:rPr>
        <w:t xml:space="preserve"> um javnviðgerð í sambandi við vanlukkutrygging</w:t>
      </w:r>
      <w:r>
        <w:rPr>
          <w:noProof/>
        </w:rPr>
        <w:t xml:space="preserve"> og av Norðurlendska sáttmálanum um almannatrygd. </w:t>
      </w:r>
      <w:r w:rsidR="00D37EE6">
        <w:rPr>
          <w:noProof/>
        </w:rPr>
        <w:t>Uppskotið gongur ikki ímóti sáttmálunum.</w:t>
      </w:r>
    </w:p>
    <w:p w14:paraId="467204AD" w14:textId="77777777" w:rsidR="00D37EE6" w:rsidRPr="00C8383D" w:rsidRDefault="00D37EE6">
      <w:pPr>
        <w:spacing w:after="0" w:line="276" w:lineRule="auto"/>
        <w:jc w:val="both"/>
        <w:rPr>
          <w:noProof/>
        </w:rPr>
      </w:pPr>
    </w:p>
    <w:p w14:paraId="7E78FA31" w14:textId="64C26247" w:rsidR="00E60021" w:rsidRPr="00C8383D" w:rsidRDefault="00E60021">
      <w:pPr>
        <w:spacing w:after="0" w:line="276" w:lineRule="auto"/>
        <w:rPr>
          <w:b/>
          <w:noProof/>
        </w:rPr>
      </w:pPr>
      <w:r w:rsidRPr="00C8383D">
        <w:rPr>
          <w:b/>
          <w:noProof/>
        </w:rPr>
        <w:t>2.8. Tvørgangandi millumtjóðasáttmálar</w:t>
      </w:r>
    </w:p>
    <w:p w14:paraId="2080D10A" w14:textId="687D6C7E" w:rsidR="00E60021" w:rsidRPr="00C8383D" w:rsidRDefault="00D37EE6">
      <w:pPr>
        <w:spacing w:after="0" w:line="276" w:lineRule="auto"/>
        <w:jc w:val="both"/>
        <w:rPr>
          <w:noProof/>
        </w:rPr>
      </w:pPr>
      <w:r>
        <w:rPr>
          <w:noProof/>
        </w:rPr>
        <w:t xml:space="preserve">Eingir tvørgangandi millumtjóðasáttmálar eru viðkomandi fyri uppskotið, heldur ikki </w:t>
      </w:r>
      <w:r w:rsidR="00E60021" w:rsidRPr="00D37EE6">
        <w:rPr>
          <w:bCs/>
          <w:noProof/>
        </w:rPr>
        <w:t>Hoyvíkssáttmálin</w:t>
      </w:r>
      <w:r>
        <w:rPr>
          <w:bCs/>
          <w:noProof/>
        </w:rPr>
        <w:t xml:space="preserve">, </w:t>
      </w:r>
      <w:r w:rsidR="00E60021" w:rsidRPr="00D37EE6">
        <w:rPr>
          <w:bCs/>
          <w:noProof/>
        </w:rPr>
        <w:t>Evropeiski mannarættindasáttmálan</w:t>
      </w:r>
      <w:r>
        <w:rPr>
          <w:bCs/>
          <w:noProof/>
        </w:rPr>
        <w:t xml:space="preserve"> ella </w:t>
      </w:r>
      <w:r w:rsidR="00E60021" w:rsidRPr="00D37EE6">
        <w:rPr>
          <w:bCs/>
          <w:noProof/>
        </w:rPr>
        <w:t>Sáttmáli Sameindu Tjóða um rættindi hjá einstaklingum, ið bera brek</w:t>
      </w:r>
      <w:r>
        <w:rPr>
          <w:bCs/>
          <w:noProof/>
        </w:rPr>
        <w:t>.</w:t>
      </w:r>
    </w:p>
    <w:p w14:paraId="08E02A74" w14:textId="77777777" w:rsidR="00E60021" w:rsidRPr="00C8383D" w:rsidRDefault="00E60021">
      <w:pPr>
        <w:spacing w:after="0" w:line="276" w:lineRule="auto"/>
        <w:jc w:val="both"/>
        <w:rPr>
          <w:noProof/>
        </w:rPr>
      </w:pPr>
    </w:p>
    <w:p w14:paraId="1AC95200" w14:textId="343A0196" w:rsidR="00E60021" w:rsidRPr="00C8383D" w:rsidRDefault="00E60021">
      <w:pPr>
        <w:spacing w:after="0" w:line="276" w:lineRule="auto"/>
        <w:rPr>
          <w:b/>
          <w:noProof/>
        </w:rPr>
      </w:pPr>
      <w:r w:rsidRPr="00C8383D">
        <w:rPr>
          <w:b/>
          <w:noProof/>
        </w:rPr>
        <w:t>2.9. Markaforðingar</w:t>
      </w:r>
    </w:p>
    <w:p w14:paraId="385B83C5" w14:textId="1190470E" w:rsidR="00E60021" w:rsidRPr="00C8383D" w:rsidRDefault="00D37EE6">
      <w:pPr>
        <w:spacing w:after="0" w:line="276" w:lineRule="auto"/>
        <w:jc w:val="both"/>
        <w:rPr>
          <w:noProof/>
        </w:rPr>
      </w:pPr>
      <w:r>
        <w:rPr>
          <w:noProof/>
        </w:rPr>
        <w:t>U</w:t>
      </w:r>
      <w:r w:rsidR="00E60021" w:rsidRPr="00C8383D">
        <w:rPr>
          <w:noProof/>
        </w:rPr>
        <w:t>ppskotið elv</w:t>
      </w:r>
      <w:r>
        <w:rPr>
          <w:noProof/>
        </w:rPr>
        <w:t xml:space="preserve">ir ikki </w:t>
      </w:r>
      <w:r w:rsidR="00E60021" w:rsidRPr="00C8383D">
        <w:rPr>
          <w:noProof/>
        </w:rPr>
        <w:t>til markaforðingar.</w:t>
      </w:r>
    </w:p>
    <w:p w14:paraId="300FF30B" w14:textId="77777777" w:rsidR="00E60021" w:rsidRPr="00C8383D" w:rsidRDefault="00E60021">
      <w:pPr>
        <w:spacing w:after="0" w:line="276" w:lineRule="auto"/>
        <w:jc w:val="both"/>
        <w:rPr>
          <w:noProof/>
        </w:rPr>
      </w:pPr>
    </w:p>
    <w:p w14:paraId="644C4787" w14:textId="77777777" w:rsidR="00E60021" w:rsidRPr="00C8383D" w:rsidRDefault="00E60021">
      <w:pPr>
        <w:spacing w:after="0" w:line="276" w:lineRule="auto"/>
        <w:rPr>
          <w:b/>
          <w:noProof/>
        </w:rPr>
      </w:pPr>
      <w:r w:rsidRPr="00C8383D">
        <w:rPr>
          <w:b/>
          <w:noProof/>
        </w:rPr>
        <w:t>2.10. Revsing, fyrisitingarligar sektir, pantiheimildir ella onnur størri inntriv</w:t>
      </w:r>
    </w:p>
    <w:p w14:paraId="5619D052" w14:textId="3CA7CE62" w:rsidR="00E60021" w:rsidRPr="00C8383D" w:rsidRDefault="001A5B40">
      <w:pPr>
        <w:spacing w:after="0" w:line="276" w:lineRule="auto"/>
        <w:jc w:val="both"/>
        <w:rPr>
          <w:noProof/>
        </w:rPr>
      </w:pPr>
      <w:r>
        <w:rPr>
          <w:noProof/>
        </w:rPr>
        <w:t>U</w:t>
      </w:r>
      <w:r w:rsidR="00E60021" w:rsidRPr="00C8383D">
        <w:rPr>
          <w:noProof/>
        </w:rPr>
        <w:t xml:space="preserve">ppskotið </w:t>
      </w:r>
      <w:r>
        <w:rPr>
          <w:noProof/>
        </w:rPr>
        <w:t xml:space="preserve">hevur ongar </w:t>
      </w:r>
      <w:r w:rsidR="00E60021" w:rsidRPr="00C8383D">
        <w:rPr>
          <w:noProof/>
        </w:rPr>
        <w:t>ásetingar um revsing, fyrisitingarligar sektir</w:t>
      </w:r>
      <w:r>
        <w:rPr>
          <w:noProof/>
        </w:rPr>
        <w:t xml:space="preserve"> ella </w:t>
      </w:r>
      <w:r w:rsidR="00E60021" w:rsidRPr="00C8383D">
        <w:rPr>
          <w:noProof/>
        </w:rPr>
        <w:t xml:space="preserve">pantiheimildir, </w:t>
      </w:r>
      <w:r>
        <w:rPr>
          <w:noProof/>
        </w:rPr>
        <w:t xml:space="preserve">og </w:t>
      </w:r>
      <w:r w:rsidR="00E60021" w:rsidRPr="00C8383D">
        <w:rPr>
          <w:noProof/>
        </w:rPr>
        <w:t xml:space="preserve">uppskotið </w:t>
      </w:r>
      <w:r>
        <w:rPr>
          <w:noProof/>
        </w:rPr>
        <w:t xml:space="preserve">ger eingi </w:t>
      </w:r>
      <w:r w:rsidR="00E60021" w:rsidRPr="00C8383D">
        <w:rPr>
          <w:noProof/>
        </w:rPr>
        <w:t>inntriv í rættindi hjá fólki.</w:t>
      </w:r>
    </w:p>
    <w:p w14:paraId="0B914805" w14:textId="77777777" w:rsidR="00E60021" w:rsidRPr="00C8383D" w:rsidRDefault="00E60021">
      <w:pPr>
        <w:spacing w:after="0" w:line="276" w:lineRule="auto"/>
        <w:jc w:val="both"/>
        <w:rPr>
          <w:noProof/>
        </w:rPr>
      </w:pPr>
    </w:p>
    <w:p w14:paraId="5F84A1BC" w14:textId="77777777" w:rsidR="00E60021" w:rsidRPr="00C8383D" w:rsidRDefault="00E60021">
      <w:pPr>
        <w:spacing w:after="0" w:line="276" w:lineRule="auto"/>
        <w:rPr>
          <w:b/>
          <w:noProof/>
        </w:rPr>
      </w:pPr>
      <w:r w:rsidRPr="00C8383D">
        <w:rPr>
          <w:b/>
          <w:noProof/>
        </w:rPr>
        <w:t>2.11. Skattir og avgjøld</w:t>
      </w:r>
    </w:p>
    <w:p w14:paraId="79B8D012" w14:textId="02222BE5" w:rsidR="00E60021" w:rsidRPr="00C8383D" w:rsidRDefault="001A5B40">
      <w:pPr>
        <w:spacing w:after="0" w:line="276" w:lineRule="auto"/>
        <w:jc w:val="both"/>
        <w:rPr>
          <w:b/>
          <w:noProof/>
        </w:rPr>
      </w:pPr>
      <w:r>
        <w:rPr>
          <w:noProof/>
        </w:rPr>
        <w:t>Uppskotið ásetir ongar skattir ella avgjøld.</w:t>
      </w:r>
    </w:p>
    <w:p w14:paraId="421346F0" w14:textId="77777777" w:rsidR="00E60021" w:rsidRPr="00C8383D" w:rsidRDefault="00E60021">
      <w:pPr>
        <w:spacing w:after="0" w:line="276" w:lineRule="auto"/>
        <w:jc w:val="both"/>
        <w:rPr>
          <w:b/>
          <w:noProof/>
        </w:rPr>
      </w:pPr>
    </w:p>
    <w:p w14:paraId="78953D86" w14:textId="77777777" w:rsidR="00E60021" w:rsidRPr="00C8383D" w:rsidRDefault="00E60021">
      <w:pPr>
        <w:spacing w:after="0" w:line="276" w:lineRule="auto"/>
        <w:rPr>
          <w:b/>
          <w:noProof/>
        </w:rPr>
      </w:pPr>
      <w:r w:rsidRPr="00C8383D">
        <w:rPr>
          <w:b/>
          <w:noProof/>
        </w:rPr>
        <w:t>2.12. Gjøld</w:t>
      </w:r>
    </w:p>
    <w:p w14:paraId="3D5E7FBD" w14:textId="2A2767C5" w:rsidR="00E60021" w:rsidRPr="00C8383D" w:rsidRDefault="001A5B40">
      <w:pPr>
        <w:spacing w:after="0" w:line="276" w:lineRule="auto"/>
        <w:jc w:val="both"/>
        <w:rPr>
          <w:b/>
          <w:noProof/>
        </w:rPr>
      </w:pPr>
      <w:r>
        <w:rPr>
          <w:noProof/>
        </w:rPr>
        <w:t>Uppskotið ásetir eingi gjøld.</w:t>
      </w:r>
    </w:p>
    <w:p w14:paraId="6D573951" w14:textId="77777777" w:rsidR="00E60021" w:rsidRPr="00C8383D" w:rsidRDefault="00E60021">
      <w:pPr>
        <w:spacing w:after="0" w:line="276" w:lineRule="auto"/>
        <w:jc w:val="both"/>
        <w:rPr>
          <w:b/>
          <w:noProof/>
        </w:rPr>
      </w:pPr>
    </w:p>
    <w:p w14:paraId="463ED974" w14:textId="77777777" w:rsidR="00E60021" w:rsidRPr="00C8383D" w:rsidRDefault="00E60021">
      <w:pPr>
        <w:spacing w:after="0" w:line="276" w:lineRule="auto"/>
        <w:rPr>
          <w:b/>
          <w:noProof/>
        </w:rPr>
      </w:pPr>
      <w:r w:rsidRPr="00C8383D">
        <w:rPr>
          <w:b/>
          <w:noProof/>
        </w:rPr>
        <w:t>2.13. Áleggur lógaruppskotið likamligum ella løgfrøðiligum persónum skyldur?</w:t>
      </w:r>
    </w:p>
    <w:p w14:paraId="682C84E7" w14:textId="6A335E3E" w:rsidR="00E60021" w:rsidRPr="00C8383D" w:rsidRDefault="001A5B40">
      <w:pPr>
        <w:spacing w:after="0" w:line="276" w:lineRule="auto"/>
        <w:jc w:val="both"/>
        <w:rPr>
          <w:b/>
          <w:noProof/>
        </w:rPr>
      </w:pPr>
      <w:r>
        <w:rPr>
          <w:noProof/>
        </w:rPr>
        <w:t xml:space="preserve">Uppskotið áleggur ikki </w:t>
      </w:r>
      <w:r w:rsidRPr="001A5B40">
        <w:rPr>
          <w:noProof/>
        </w:rPr>
        <w:t>likamligum ella løgfrøðiligum persónum skyldur</w:t>
      </w:r>
      <w:r>
        <w:rPr>
          <w:noProof/>
        </w:rPr>
        <w:t>.</w:t>
      </w:r>
    </w:p>
    <w:p w14:paraId="0EF39259" w14:textId="77777777" w:rsidR="00E60021" w:rsidRPr="00C8383D" w:rsidRDefault="00E60021">
      <w:pPr>
        <w:spacing w:after="0" w:line="276" w:lineRule="auto"/>
        <w:jc w:val="both"/>
        <w:rPr>
          <w:b/>
          <w:noProof/>
        </w:rPr>
      </w:pPr>
    </w:p>
    <w:p w14:paraId="3142208C" w14:textId="77777777" w:rsidR="00E60021" w:rsidRPr="00C8383D" w:rsidRDefault="00E60021">
      <w:pPr>
        <w:spacing w:after="0" w:line="276" w:lineRule="auto"/>
        <w:rPr>
          <w:b/>
          <w:noProof/>
        </w:rPr>
      </w:pPr>
      <w:r w:rsidRPr="00C8383D">
        <w:rPr>
          <w:b/>
          <w:noProof/>
        </w:rPr>
        <w:t>2.14. Leggur lógaruppskotið heimildir til landsstýrismannin, ein stovn undir landsstýrinum ella til kommunur?</w:t>
      </w:r>
    </w:p>
    <w:p w14:paraId="3631532B" w14:textId="2A60A2F4" w:rsidR="00E60021" w:rsidRDefault="001A5B40">
      <w:pPr>
        <w:spacing w:after="0" w:line="276" w:lineRule="auto"/>
        <w:jc w:val="both"/>
        <w:rPr>
          <w:noProof/>
        </w:rPr>
      </w:pPr>
      <w:r>
        <w:rPr>
          <w:noProof/>
        </w:rPr>
        <w:t>U</w:t>
      </w:r>
      <w:r w:rsidRPr="001A5B40">
        <w:rPr>
          <w:noProof/>
        </w:rPr>
        <w:t xml:space="preserve">ppskotið </w:t>
      </w:r>
      <w:r>
        <w:rPr>
          <w:noProof/>
        </w:rPr>
        <w:t xml:space="preserve">leggur ongar </w:t>
      </w:r>
      <w:r w:rsidRPr="001A5B40">
        <w:rPr>
          <w:noProof/>
        </w:rPr>
        <w:t>heimildir til landsstýrismannin, stovn undir landsstýrinum ella til kommunur</w:t>
      </w:r>
      <w:r>
        <w:rPr>
          <w:noProof/>
        </w:rPr>
        <w:t>.</w:t>
      </w:r>
    </w:p>
    <w:p w14:paraId="2C8B7B15" w14:textId="77777777" w:rsidR="001A5B40" w:rsidRPr="00C8383D" w:rsidRDefault="001A5B40">
      <w:pPr>
        <w:spacing w:after="0" w:line="276" w:lineRule="auto"/>
        <w:jc w:val="both"/>
        <w:rPr>
          <w:b/>
          <w:noProof/>
        </w:rPr>
      </w:pPr>
    </w:p>
    <w:p w14:paraId="1D5066A0" w14:textId="77777777" w:rsidR="00E60021" w:rsidRPr="00C8383D" w:rsidRDefault="00E60021">
      <w:pPr>
        <w:spacing w:after="0" w:line="276" w:lineRule="auto"/>
        <w:jc w:val="both"/>
        <w:rPr>
          <w:b/>
          <w:noProof/>
        </w:rPr>
      </w:pPr>
      <w:r w:rsidRPr="00C8383D">
        <w:rPr>
          <w:b/>
          <w:noProof/>
        </w:rPr>
        <w:t>2.15. Gevur lógar</w:t>
      </w:r>
      <w:bookmarkStart w:id="5" w:name="_Hlk128064453"/>
      <w:r w:rsidRPr="00C8383D">
        <w:rPr>
          <w:b/>
          <w:noProof/>
        </w:rPr>
        <w:t>uppskotið almennum myndugleikum atgongd til privata ogn</w:t>
      </w:r>
      <w:bookmarkEnd w:id="5"/>
      <w:r w:rsidRPr="00C8383D">
        <w:rPr>
          <w:b/>
          <w:noProof/>
        </w:rPr>
        <w:t>?</w:t>
      </w:r>
    </w:p>
    <w:p w14:paraId="6F8A4EBB" w14:textId="1B00DFF0" w:rsidR="00E60021" w:rsidRDefault="001A5B40">
      <w:pPr>
        <w:spacing w:after="0" w:line="276" w:lineRule="auto"/>
        <w:jc w:val="both"/>
        <w:rPr>
          <w:noProof/>
        </w:rPr>
      </w:pPr>
      <w:r>
        <w:rPr>
          <w:noProof/>
        </w:rPr>
        <w:t>U</w:t>
      </w:r>
      <w:r w:rsidRPr="001A5B40">
        <w:rPr>
          <w:noProof/>
        </w:rPr>
        <w:t xml:space="preserve">ppskotið </w:t>
      </w:r>
      <w:r>
        <w:rPr>
          <w:noProof/>
        </w:rPr>
        <w:t xml:space="preserve">gevur ikki </w:t>
      </w:r>
      <w:r w:rsidRPr="001A5B40">
        <w:rPr>
          <w:noProof/>
        </w:rPr>
        <w:t>almennum myndugleikum atgongd til privata ogn</w:t>
      </w:r>
      <w:r>
        <w:rPr>
          <w:noProof/>
        </w:rPr>
        <w:t>.</w:t>
      </w:r>
    </w:p>
    <w:p w14:paraId="416C5B50" w14:textId="77777777" w:rsidR="001A5B40" w:rsidRPr="00C8383D" w:rsidRDefault="001A5B40">
      <w:pPr>
        <w:spacing w:after="0" w:line="276" w:lineRule="auto"/>
        <w:jc w:val="both"/>
        <w:rPr>
          <w:b/>
          <w:noProof/>
        </w:rPr>
      </w:pPr>
    </w:p>
    <w:p w14:paraId="27FB4908" w14:textId="77777777" w:rsidR="00E60021" w:rsidRPr="00C8383D" w:rsidRDefault="00E60021">
      <w:pPr>
        <w:spacing w:after="0" w:line="276" w:lineRule="auto"/>
        <w:jc w:val="both"/>
        <w:rPr>
          <w:b/>
          <w:noProof/>
        </w:rPr>
      </w:pPr>
      <w:r w:rsidRPr="00C8383D">
        <w:rPr>
          <w:b/>
          <w:noProof/>
        </w:rPr>
        <w:t>2.16. Hevur lógaruppskotið aðrar avleiðingar?</w:t>
      </w:r>
    </w:p>
    <w:p w14:paraId="2821F8A0" w14:textId="4B1DC37C" w:rsidR="00E60021" w:rsidRPr="00C8383D" w:rsidRDefault="001A5B40">
      <w:pPr>
        <w:spacing w:after="0" w:line="276" w:lineRule="auto"/>
        <w:jc w:val="both"/>
        <w:rPr>
          <w:noProof/>
        </w:rPr>
      </w:pPr>
      <w:r>
        <w:rPr>
          <w:noProof/>
        </w:rPr>
        <w:t>U</w:t>
      </w:r>
      <w:r w:rsidR="00E60021" w:rsidRPr="00C8383D">
        <w:rPr>
          <w:noProof/>
        </w:rPr>
        <w:t xml:space="preserve">ppskotið </w:t>
      </w:r>
      <w:r>
        <w:rPr>
          <w:noProof/>
        </w:rPr>
        <w:t xml:space="preserve">hevur ikki </w:t>
      </w:r>
      <w:r w:rsidR="00E60021" w:rsidRPr="00C8383D">
        <w:rPr>
          <w:noProof/>
        </w:rPr>
        <w:t>aðrar avleiðingar enn tær, sum eru nevndar omanfyri</w:t>
      </w:r>
      <w:r>
        <w:rPr>
          <w:noProof/>
        </w:rPr>
        <w:t>.</w:t>
      </w:r>
    </w:p>
    <w:p w14:paraId="3A4BDDE1" w14:textId="77777777" w:rsidR="00E60021" w:rsidRPr="00C8383D" w:rsidRDefault="00E60021">
      <w:pPr>
        <w:spacing w:after="0" w:line="276" w:lineRule="auto"/>
        <w:jc w:val="both"/>
        <w:rPr>
          <w:noProof/>
        </w:rPr>
      </w:pPr>
    </w:p>
    <w:p w14:paraId="0B8BCCB8" w14:textId="77777777" w:rsidR="00E60021" w:rsidRPr="00C8383D" w:rsidRDefault="00E60021">
      <w:pPr>
        <w:spacing w:after="0" w:line="276" w:lineRule="auto"/>
        <w:jc w:val="both"/>
        <w:rPr>
          <w:b/>
          <w:noProof/>
        </w:rPr>
      </w:pPr>
      <w:r w:rsidRPr="00C8383D">
        <w:rPr>
          <w:b/>
          <w:noProof/>
        </w:rPr>
        <w:t>2.17. Talvan: Yvirlit yvir avleiðingarnar av lógaruppskotinum</w:t>
      </w: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C8383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C8383D" w:rsidRDefault="00E60021">
            <w:pPr>
              <w:spacing w:after="0" w:line="276" w:lineRule="auto"/>
              <w:rPr>
                <w:rFonts w:ascii="Times New Roman" w:hAnsi="Times New Roman"/>
                <w:b/>
                <w:bCs/>
                <w:noProof/>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Fyri vinnuna</w:t>
            </w:r>
          </w:p>
        </w:tc>
      </w:tr>
      <w:tr w:rsidR="00E60021" w:rsidRPr="00C8383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Fíggjarligar ella búskaparligar avleiðingar</w:t>
            </w:r>
          </w:p>
        </w:tc>
        <w:sdt>
          <w:sdtPr>
            <w:rPr>
              <w:bCs/>
              <w:noProof/>
              <w:sz w:val="20"/>
              <w:szCs w:val="20"/>
            </w:rPr>
            <w:id w:val="1109551800"/>
            <w:placeholder>
              <w:docPart w:val="D58AA6B117DE406C9DB93DEB2C9E35E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27D9561A" w:rsidR="00E60021" w:rsidRPr="00C8383D" w:rsidRDefault="001A5B40">
                <w:pPr>
                  <w:spacing w:after="0" w:line="276" w:lineRule="auto"/>
                  <w:jc w:val="center"/>
                  <w:rPr>
                    <w:rFonts w:ascii="Times New Roman" w:hAnsi="Times New Roman"/>
                    <w:bCs/>
                    <w:noProof/>
                    <w:sz w:val="20"/>
                    <w:szCs w:val="20"/>
                  </w:rPr>
                </w:pPr>
                <w:r>
                  <w:rPr>
                    <w:bCs/>
                    <w:noProof/>
                    <w:sz w:val="20"/>
                    <w:szCs w:val="20"/>
                  </w:rPr>
                  <w:t>Nei</w:t>
                </w:r>
              </w:p>
            </w:tc>
          </w:sdtContent>
        </w:sdt>
        <w:sdt>
          <w:sdtPr>
            <w:rPr>
              <w:bCs/>
              <w:noProof/>
              <w:sz w:val="20"/>
              <w:szCs w:val="20"/>
            </w:rPr>
            <w:id w:val="-220371911"/>
            <w:placeholder>
              <w:docPart w:val="C0102732E438477B8B2537D67378081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0972ED90" w:rsidR="00E60021" w:rsidRPr="00C8383D" w:rsidRDefault="001A5B40">
                <w:pPr>
                  <w:spacing w:after="0" w:line="276" w:lineRule="auto"/>
                  <w:jc w:val="center"/>
                  <w:rPr>
                    <w:rFonts w:ascii="Times New Roman" w:hAnsi="Times New Roman"/>
                    <w:bCs/>
                    <w:noProof/>
                    <w:sz w:val="20"/>
                    <w:szCs w:val="20"/>
                  </w:rPr>
                </w:pPr>
                <w:r>
                  <w:rPr>
                    <w:bCs/>
                    <w:noProof/>
                    <w:sz w:val="20"/>
                    <w:szCs w:val="20"/>
                  </w:rPr>
                  <w:t>Nei</w:t>
                </w:r>
              </w:p>
            </w:tc>
          </w:sdtContent>
        </w:sdt>
        <w:sdt>
          <w:sdtPr>
            <w:rPr>
              <w:bCs/>
              <w:noProof/>
              <w:sz w:val="20"/>
              <w:szCs w:val="20"/>
            </w:rPr>
            <w:id w:val="1001774417"/>
            <w:placeholder>
              <w:docPart w:val="6FAD92F09DE54892ACD4F5C87A2F2A87"/>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3AC68864" w:rsidR="00E60021" w:rsidRPr="00C8383D" w:rsidRDefault="001A5B40">
                <w:pPr>
                  <w:spacing w:after="0" w:line="276" w:lineRule="auto"/>
                  <w:jc w:val="center"/>
                  <w:rPr>
                    <w:rFonts w:ascii="Times New Roman" w:hAnsi="Times New Roman"/>
                    <w:bCs/>
                    <w:noProof/>
                    <w:sz w:val="20"/>
                    <w:szCs w:val="20"/>
                  </w:rPr>
                </w:pPr>
                <w:r>
                  <w:rPr>
                    <w:bCs/>
                    <w:noProof/>
                    <w:sz w:val="20"/>
                    <w:szCs w:val="20"/>
                  </w:rPr>
                  <w:t>Nei</w:t>
                </w:r>
              </w:p>
            </w:tc>
          </w:sdtContent>
        </w:sdt>
        <w:sdt>
          <w:sdtPr>
            <w:rPr>
              <w:bCs/>
              <w:noProof/>
              <w:sz w:val="20"/>
              <w:szCs w:val="20"/>
            </w:rPr>
            <w:id w:val="-722052874"/>
            <w:placeholder>
              <w:docPart w:val="4941FBC0F63243C1B107B2934C8060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3BF75261" w:rsidR="00E60021" w:rsidRPr="00C8383D" w:rsidRDefault="001A5B40">
                <w:pPr>
                  <w:spacing w:after="0" w:line="276" w:lineRule="auto"/>
                  <w:jc w:val="center"/>
                  <w:rPr>
                    <w:rFonts w:ascii="Times New Roman" w:hAnsi="Times New Roman"/>
                    <w:bCs/>
                    <w:noProof/>
                    <w:sz w:val="20"/>
                    <w:szCs w:val="20"/>
                  </w:rPr>
                </w:pPr>
                <w:r>
                  <w:rPr>
                    <w:bCs/>
                    <w:noProof/>
                    <w:sz w:val="20"/>
                    <w:szCs w:val="20"/>
                  </w:rPr>
                  <w:t>Ja</w:t>
                </w:r>
              </w:p>
            </w:tc>
          </w:sdtContent>
        </w:sdt>
        <w:sdt>
          <w:sdtPr>
            <w:rPr>
              <w:bCs/>
              <w:noProof/>
              <w:sz w:val="20"/>
              <w:szCs w:val="20"/>
            </w:rPr>
            <w:id w:val="1212457157"/>
            <w:placeholder>
              <w:docPart w:val="12928606283A4053A2CBEB6A3A10861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5A9A68A9" w:rsidR="00E60021" w:rsidRPr="00C8383D" w:rsidRDefault="00D45581">
                <w:pPr>
                  <w:spacing w:after="0" w:line="276" w:lineRule="auto"/>
                  <w:jc w:val="center"/>
                  <w:rPr>
                    <w:rFonts w:ascii="Times New Roman" w:hAnsi="Times New Roman"/>
                    <w:bCs/>
                    <w:noProof/>
                    <w:sz w:val="20"/>
                    <w:szCs w:val="20"/>
                  </w:rPr>
                </w:pPr>
                <w:r>
                  <w:rPr>
                    <w:bCs/>
                    <w:noProof/>
                    <w:sz w:val="20"/>
                    <w:szCs w:val="20"/>
                  </w:rPr>
                  <w:t>Ja</w:t>
                </w:r>
              </w:p>
            </w:tc>
          </w:sdtContent>
        </w:sdt>
      </w:tr>
      <w:tr w:rsidR="00E60021" w:rsidRPr="00C8383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Umsitingarligar avleiðingar</w:t>
            </w:r>
          </w:p>
        </w:tc>
        <w:sdt>
          <w:sdtPr>
            <w:rPr>
              <w:noProof/>
              <w:sz w:val="20"/>
            </w:rPr>
            <w:id w:val="463475165"/>
            <w:placeholder>
              <w:docPart w:val="109BE2C0C0424DB79002A175E6287E5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31621923"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93965219"/>
            <w:placeholder>
              <w:docPart w:val="307A892DACFA481CB60E4E445879179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54A747D9"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732535479"/>
            <w:placeholder>
              <w:docPart w:val="2101F787A1374ADD9574E9BE88F2353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270EB972"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247317771"/>
            <w:placeholder>
              <w:docPart w:val="38D399C752A24706A31899876E83DF4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7A6FE1DF"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937699706"/>
            <w:placeholder>
              <w:docPart w:val="BC8A4B236D1B4961AD64B5F5092304F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2E500B92" w:rsidR="00E60021" w:rsidRPr="00C8383D" w:rsidRDefault="001A5B40">
                <w:pPr>
                  <w:spacing w:after="0" w:line="276" w:lineRule="auto"/>
                  <w:jc w:val="center"/>
                  <w:rPr>
                    <w:rFonts w:ascii="Times New Roman" w:hAnsi="Times New Roman"/>
                    <w:noProof/>
                    <w:sz w:val="20"/>
                  </w:rPr>
                </w:pPr>
                <w:r>
                  <w:rPr>
                    <w:noProof/>
                    <w:sz w:val="20"/>
                  </w:rPr>
                  <w:t>Nei</w:t>
                </w:r>
              </w:p>
            </w:tc>
          </w:sdtContent>
        </w:sdt>
      </w:tr>
      <w:tr w:rsidR="00E60021" w:rsidRPr="00C8383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Umhvørvisligar avleiðingar</w:t>
            </w:r>
          </w:p>
        </w:tc>
        <w:sdt>
          <w:sdtPr>
            <w:rPr>
              <w:noProof/>
              <w:sz w:val="20"/>
            </w:rPr>
            <w:id w:val="-1105500463"/>
            <w:placeholder>
              <w:docPart w:val="970806F86C1B47748154B1740FD68A3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3D73A31D"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69170381"/>
            <w:placeholder>
              <w:docPart w:val="57AA0BE6F90E4A9E98B3B3D9566E7E0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2F345AE4"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469403764"/>
            <w:placeholder>
              <w:docPart w:val="24FF557617BA422584DE17D731ACA87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7DE36006"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456685929"/>
            <w:placeholder>
              <w:docPart w:val="0C8A9E75AC584EA0BF1941CFE4A7A44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3FD46ADA"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671832337"/>
            <w:placeholder>
              <w:docPart w:val="701BE18FCBFC4F0C91972D93BA0C90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5AC982E6" w:rsidR="00E60021" w:rsidRPr="00C8383D" w:rsidRDefault="001A5B40">
                <w:pPr>
                  <w:spacing w:after="0" w:line="276" w:lineRule="auto"/>
                  <w:jc w:val="center"/>
                  <w:rPr>
                    <w:rFonts w:ascii="Times New Roman" w:hAnsi="Times New Roman"/>
                    <w:noProof/>
                    <w:sz w:val="20"/>
                  </w:rPr>
                </w:pPr>
                <w:r>
                  <w:rPr>
                    <w:noProof/>
                    <w:sz w:val="20"/>
                  </w:rPr>
                  <w:t>Nei</w:t>
                </w:r>
              </w:p>
            </w:tc>
          </w:sdtContent>
        </w:sdt>
      </w:tr>
      <w:tr w:rsidR="00E60021" w:rsidRPr="00C8383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111E2B28" w:rsidR="00E60021" w:rsidRPr="00C8383D" w:rsidRDefault="00B93DA3">
            <w:pPr>
              <w:spacing w:after="0" w:line="276" w:lineRule="auto"/>
              <w:jc w:val="center"/>
              <w:rPr>
                <w:rFonts w:ascii="Times New Roman" w:hAnsi="Times New Roman"/>
                <w:noProof/>
                <w:sz w:val="20"/>
              </w:rPr>
            </w:pPr>
            <w:sdt>
              <w:sdtPr>
                <w:rPr>
                  <w:noProof/>
                  <w:sz w:val="20"/>
                </w:rPr>
                <w:id w:val="-1768680227"/>
                <w:placeholder>
                  <w:docPart w:val="4C26038C27144616BAF7A215D2FC9056"/>
                </w:placeholder>
                <w:comboBox>
                  <w:listItem w:displayText="Ja" w:value="Ja"/>
                  <w:listItem w:displayText="Nei" w:value="Nei"/>
                </w:comboBox>
              </w:sdtPr>
              <w:sdtEndPr/>
              <w:sdtContent>
                <w:r w:rsidR="00D37EE6">
                  <w:rPr>
                    <w:noProof/>
                    <w:sz w:val="20"/>
                  </w:rPr>
                  <w:t>Nei</w:t>
                </w:r>
              </w:sdtContent>
            </w:sdt>
          </w:p>
        </w:tc>
        <w:sdt>
          <w:sdtPr>
            <w:rPr>
              <w:noProof/>
              <w:sz w:val="20"/>
            </w:rPr>
            <w:id w:val="-613131601"/>
            <w:placeholder>
              <w:docPart w:val="A078AE7ED76A4E86AACD0968EB74368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7BC25C2F" w:rsidR="00E60021" w:rsidRPr="00C8383D" w:rsidRDefault="00D37EE6">
                <w:pPr>
                  <w:spacing w:after="0" w:line="276" w:lineRule="auto"/>
                  <w:jc w:val="center"/>
                  <w:rPr>
                    <w:rFonts w:ascii="Times New Roman" w:hAnsi="Times New Roman"/>
                    <w:noProof/>
                    <w:sz w:val="20"/>
                  </w:rPr>
                </w:pPr>
                <w:r>
                  <w:rPr>
                    <w:noProof/>
                    <w:sz w:val="20"/>
                  </w:rPr>
                  <w:t>Nei</w:t>
                </w:r>
              </w:p>
            </w:tc>
          </w:sdtContent>
        </w:sdt>
        <w:sdt>
          <w:sdtPr>
            <w:rPr>
              <w:noProof/>
              <w:sz w:val="20"/>
            </w:rPr>
            <w:id w:val="1136996114"/>
            <w:placeholder>
              <w:docPart w:val="FD4FD9A7A5124515AC2DFEF5BB4F30A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76D34E92"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169521836"/>
            <w:placeholder>
              <w:docPart w:val="0FCD526AAC1D43C0A6818B6FC537B9E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385FDF33" w:rsidR="00E60021" w:rsidRPr="00C8383D" w:rsidRDefault="00D37EE6">
                <w:pPr>
                  <w:spacing w:after="0" w:line="276" w:lineRule="auto"/>
                  <w:jc w:val="center"/>
                  <w:rPr>
                    <w:rFonts w:ascii="Times New Roman" w:hAnsi="Times New Roman"/>
                    <w:noProof/>
                    <w:sz w:val="20"/>
                  </w:rPr>
                </w:pPr>
                <w:r>
                  <w:rPr>
                    <w:noProof/>
                    <w:sz w:val="20"/>
                  </w:rPr>
                  <w:t>Nei</w:t>
                </w:r>
              </w:p>
            </w:tc>
          </w:sdtContent>
        </w:sdt>
        <w:sdt>
          <w:sdtPr>
            <w:rPr>
              <w:noProof/>
              <w:sz w:val="20"/>
            </w:rPr>
            <w:id w:val="-1905216052"/>
            <w:placeholder>
              <w:docPart w:val="69050EC3BEB047ECB83AA4BCED6DDF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7742AD17" w:rsidR="00E60021" w:rsidRPr="00C8383D" w:rsidRDefault="00D37EE6">
                <w:pPr>
                  <w:spacing w:after="0" w:line="276" w:lineRule="auto"/>
                  <w:jc w:val="center"/>
                  <w:rPr>
                    <w:rFonts w:ascii="Times New Roman" w:hAnsi="Times New Roman"/>
                    <w:noProof/>
                    <w:sz w:val="20"/>
                  </w:rPr>
                </w:pPr>
                <w:r>
                  <w:rPr>
                    <w:noProof/>
                    <w:sz w:val="20"/>
                  </w:rPr>
                  <w:t>Nei</w:t>
                </w:r>
              </w:p>
            </w:tc>
          </w:sdtContent>
        </w:sdt>
      </w:tr>
      <w:tr w:rsidR="00E60021" w:rsidRPr="00C8383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C8383D" w:rsidRDefault="00E60021">
            <w:pPr>
              <w:spacing w:after="0" w:line="276" w:lineRule="auto"/>
              <w:rPr>
                <w:rFonts w:ascii="Times New Roman" w:hAnsi="Times New Roman"/>
                <w:noProof/>
                <w:sz w:val="20"/>
              </w:rPr>
            </w:pPr>
            <w:r w:rsidRPr="00C8383D">
              <w:rPr>
                <w:rFonts w:ascii="Times New Roman" w:hAnsi="Times New Roman"/>
                <w:noProof/>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C8383D" w:rsidRDefault="00E60021">
            <w:pPr>
              <w:spacing w:after="0" w:line="276" w:lineRule="auto"/>
              <w:jc w:val="center"/>
              <w:rPr>
                <w:rFonts w:ascii="Times New Roman" w:hAnsi="Times New Roman"/>
                <w:b/>
                <w:bCs/>
                <w:noProof/>
                <w:sz w:val="24"/>
                <w:szCs w:val="20"/>
              </w:rPr>
            </w:pPr>
          </w:p>
        </w:tc>
        <w:sdt>
          <w:sdtPr>
            <w:rPr>
              <w:noProof/>
              <w:sz w:val="20"/>
            </w:rPr>
            <w:id w:val="-1092471004"/>
            <w:placeholder>
              <w:docPart w:val="FEF38AF8C36D4105B9A676B79D05A98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3C5F3BDB" w:rsidR="00E60021" w:rsidRPr="00C8383D" w:rsidRDefault="001A5B40">
                <w:pPr>
                  <w:spacing w:after="0" w:line="276" w:lineRule="auto"/>
                  <w:jc w:val="center"/>
                  <w:rPr>
                    <w:rFonts w:ascii="Times New Roman" w:hAnsi="Times New Roman"/>
                    <w:noProof/>
                    <w:sz w:val="20"/>
                  </w:rPr>
                </w:pPr>
                <w:r>
                  <w:rPr>
                    <w:noProof/>
                    <w:sz w:val="20"/>
                  </w:rPr>
                  <w:t>Nei</w:t>
                </w:r>
              </w:p>
            </w:tc>
          </w:sdtContent>
        </w:sdt>
        <w:sdt>
          <w:sdtPr>
            <w:rPr>
              <w:noProof/>
              <w:sz w:val="20"/>
            </w:rPr>
            <w:id w:val="-1251424783"/>
            <w:placeholder>
              <w:docPart w:val="601063289B094D8CBF4EDEE10F6F6DD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2B3852CC" w:rsidR="00E60021" w:rsidRPr="00C8383D" w:rsidRDefault="001A5B40">
                <w:pPr>
                  <w:spacing w:after="0" w:line="276" w:lineRule="auto"/>
                  <w:jc w:val="center"/>
                  <w:rPr>
                    <w:rFonts w:ascii="Times New Roman" w:hAnsi="Times New Roman"/>
                    <w:noProof/>
                    <w:sz w:val="20"/>
                  </w:rPr>
                </w:pPr>
                <w:r>
                  <w:rPr>
                    <w:noProof/>
                    <w:sz w:val="20"/>
                  </w:rPr>
                  <w:t>Ja</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C8383D" w:rsidRDefault="00E60021">
            <w:pPr>
              <w:spacing w:after="0" w:line="276" w:lineRule="auto"/>
              <w:jc w:val="center"/>
              <w:rPr>
                <w:rFonts w:ascii="Times New Roman" w:hAnsi="Times New Roman"/>
                <w:b/>
                <w:bCs/>
                <w:noProof/>
                <w:sz w:val="24"/>
                <w:szCs w:val="20"/>
              </w:rPr>
            </w:pPr>
          </w:p>
        </w:tc>
      </w:tr>
    </w:tbl>
    <w:p w14:paraId="7D8DAFF9" w14:textId="423C4BF4" w:rsidR="001E182B" w:rsidRDefault="001E182B">
      <w:pPr>
        <w:spacing w:after="0"/>
        <w:rPr>
          <w:rFonts w:eastAsia="Times New Roman"/>
          <w:b/>
          <w:bCs/>
          <w:noProof/>
          <w:color w:val="000000"/>
          <w:szCs w:val="26"/>
        </w:rPr>
      </w:pPr>
    </w:p>
    <w:p w14:paraId="52C3F9E5" w14:textId="71ADFC3A" w:rsidR="000B2A48" w:rsidRDefault="000B2A48">
      <w:pPr>
        <w:spacing w:after="0"/>
        <w:rPr>
          <w:rFonts w:eastAsia="Times New Roman"/>
          <w:b/>
          <w:bCs/>
          <w:noProof/>
          <w:color w:val="000000"/>
          <w:szCs w:val="26"/>
        </w:rPr>
      </w:pPr>
    </w:p>
    <w:p w14:paraId="3AB225D2" w14:textId="77777777" w:rsidR="00582E1F" w:rsidRDefault="00582E1F">
      <w:pPr>
        <w:spacing w:after="0"/>
        <w:rPr>
          <w:rFonts w:eastAsia="Times New Roman"/>
          <w:b/>
          <w:bCs/>
          <w:noProof/>
          <w:color w:val="000000"/>
          <w:szCs w:val="26"/>
        </w:rPr>
      </w:pPr>
    </w:p>
    <w:p w14:paraId="19D78BFB" w14:textId="340584CA" w:rsidR="00E60021" w:rsidRPr="00C8383D" w:rsidRDefault="00E60021">
      <w:pPr>
        <w:spacing w:after="0" w:line="276" w:lineRule="auto"/>
        <w:rPr>
          <w:rFonts w:eastAsia="Times New Roman"/>
          <w:b/>
          <w:bCs/>
          <w:noProof/>
          <w:color w:val="000000"/>
          <w:szCs w:val="26"/>
        </w:rPr>
      </w:pPr>
      <w:r w:rsidRPr="00C8383D">
        <w:rPr>
          <w:rFonts w:eastAsia="Times New Roman"/>
          <w:b/>
          <w:bCs/>
          <w:noProof/>
          <w:color w:val="000000"/>
          <w:szCs w:val="26"/>
        </w:rPr>
        <w:t xml:space="preserve">Kapittul 3. </w:t>
      </w:r>
      <w:r w:rsidRPr="00C8383D">
        <w:rPr>
          <w:b/>
          <w:noProof/>
        </w:rPr>
        <w:t>Serligar viðmerkingar</w:t>
      </w:r>
    </w:p>
    <w:p w14:paraId="40A0CB85" w14:textId="77777777" w:rsidR="001E182B" w:rsidRPr="00C8383D" w:rsidRDefault="001E182B">
      <w:pPr>
        <w:spacing w:after="0" w:line="276" w:lineRule="auto"/>
        <w:rPr>
          <w:b/>
          <w:noProof/>
        </w:rPr>
      </w:pPr>
    </w:p>
    <w:p w14:paraId="18DFCD43" w14:textId="77777777" w:rsidR="00E60021" w:rsidRPr="00C8383D" w:rsidRDefault="00E60021">
      <w:pPr>
        <w:spacing w:after="0" w:line="276" w:lineRule="auto"/>
        <w:jc w:val="both"/>
        <w:rPr>
          <w:b/>
          <w:noProof/>
        </w:rPr>
      </w:pPr>
      <w:r w:rsidRPr="00C8383D">
        <w:rPr>
          <w:b/>
          <w:noProof/>
        </w:rPr>
        <w:t>3.1. Viðmerkingar til ta einstøku greinina</w:t>
      </w:r>
    </w:p>
    <w:p w14:paraId="4BDE0CE2" w14:textId="6DBF0623" w:rsidR="00CB2470" w:rsidRDefault="00CB2470">
      <w:pPr>
        <w:spacing w:after="0" w:line="276" w:lineRule="auto"/>
        <w:jc w:val="both"/>
        <w:rPr>
          <w:noProof/>
        </w:rPr>
      </w:pPr>
    </w:p>
    <w:p w14:paraId="545B5863" w14:textId="23DB240C" w:rsidR="000B2A48" w:rsidRDefault="000B2A48">
      <w:pPr>
        <w:spacing w:after="0" w:line="276" w:lineRule="auto"/>
        <w:jc w:val="both"/>
        <w:rPr>
          <w:b/>
          <w:bCs/>
          <w:noProof/>
        </w:rPr>
      </w:pPr>
      <w:r>
        <w:rPr>
          <w:b/>
          <w:bCs/>
          <w:noProof/>
        </w:rPr>
        <w:t>§ 1, nr. 1</w:t>
      </w:r>
    </w:p>
    <w:p w14:paraId="2902A226" w14:textId="03326F7B" w:rsidR="000B2A48" w:rsidRPr="000B2A48" w:rsidRDefault="00DE6BFD">
      <w:pPr>
        <w:spacing w:after="0" w:line="276" w:lineRule="auto"/>
        <w:jc w:val="both"/>
        <w:rPr>
          <w:noProof/>
        </w:rPr>
      </w:pPr>
      <w:r>
        <w:rPr>
          <w:noProof/>
        </w:rPr>
        <w:t xml:space="preserve">Í § 43, stk. 3 í løgtingslógini er ásett, at veitingarnar sambært </w:t>
      </w:r>
      <w:r w:rsidR="00ED4013">
        <w:rPr>
          <w:noProof/>
        </w:rPr>
        <w:t>løgtingslóg</w:t>
      </w:r>
      <w:r>
        <w:rPr>
          <w:noProof/>
        </w:rPr>
        <w:t>ini verða roknaðar við grundarlag í upphæddunum, ið vóru galdandi, tá avgerðin um játtaðu veitingarnar verður tikin. Við hesum lógaruppskotinum verður hetta broytt, tá ið tað snýr seg um endurgjald fyri mist vinnuføri, sum verður veitt sum ein framhaldandi árlig veiting</w:t>
      </w:r>
      <w:r w:rsidR="00510F74">
        <w:rPr>
          <w:noProof/>
        </w:rPr>
        <w:t xml:space="preserve"> sambært § 50</w:t>
      </w:r>
      <w:r>
        <w:rPr>
          <w:noProof/>
        </w:rPr>
        <w:t>. Tí verður ein broyting gjørd í § 43, stk. 3, soleiðis at víst verður til nýggja stykki 4, har ásett er, at framhaldandi árliga veitingin fyri mist vinnuføri verður javnað árliga.</w:t>
      </w:r>
    </w:p>
    <w:p w14:paraId="64011A36" w14:textId="77777777" w:rsidR="000B2A48" w:rsidRPr="00C8383D" w:rsidRDefault="000B2A48">
      <w:pPr>
        <w:spacing w:after="0" w:line="276" w:lineRule="auto"/>
        <w:jc w:val="both"/>
        <w:rPr>
          <w:noProof/>
        </w:rPr>
      </w:pPr>
    </w:p>
    <w:p w14:paraId="4FD8058B" w14:textId="24481CEF" w:rsidR="00E60021" w:rsidRPr="00C8383D" w:rsidRDefault="00E60021">
      <w:pPr>
        <w:spacing w:after="0" w:line="276" w:lineRule="auto"/>
        <w:jc w:val="both"/>
        <w:rPr>
          <w:b/>
          <w:noProof/>
        </w:rPr>
      </w:pPr>
      <w:r w:rsidRPr="00C8383D">
        <w:rPr>
          <w:b/>
          <w:noProof/>
        </w:rPr>
        <w:t>§ 1</w:t>
      </w:r>
      <w:r w:rsidR="0065440A">
        <w:rPr>
          <w:b/>
          <w:noProof/>
        </w:rPr>
        <w:t xml:space="preserve">, nr. </w:t>
      </w:r>
      <w:r w:rsidR="000B2A48">
        <w:rPr>
          <w:b/>
          <w:noProof/>
        </w:rPr>
        <w:t>2</w:t>
      </w:r>
    </w:p>
    <w:p w14:paraId="4AE18227" w14:textId="102C93CC" w:rsidR="00DE1485" w:rsidRDefault="001A5B40">
      <w:pPr>
        <w:spacing w:after="0" w:line="276" w:lineRule="auto"/>
        <w:jc w:val="both"/>
        <w:rPr>
          <w:noProof/>
        </w:rPr>
      </w:pPr>
      <w:r>
        <w:rPr>
          <w:noProof/>
        </w:rPr>
        <w:t>Broytingin ber í sær, at upphæddin, sum rinda</w:t>
      </w:r>
      <w:r w:rsidR="00A0696A">
        <w:rPr>
          <w:noProof/>
        </w:rPr>
        <w:t>ð</w:t>
      </w:r>
      <w:r>
        <w:rPr>
          <w:noProof/>
        </w:rPr>
        <w:t xml:space="preserve"> verður persóni, </w:t>
      </w:r>
      <w:r w:rsidR="002A311D">
        <w:rPr>
          <w:noProof/>
        </w:rPr>
        <w:t xml:space="preserve">ið </w:t>
      </w:r>
      <w:r>
        <w:rPr>
          <w:noProof/>
        </w:rPr>
        <w:t>fær framhaldandi árliga endurgjaldsveiting fyri mist vinnuføri</w:t>
      </w:r>
      <w:r w:rsidR="00510F74">
        <w:rPr>
          <w:noProof/>
        </w:rPr>
        <w:t xml:space="preserve"> sambært § 50</w:t>
      </w:r>
      <w:r>
        <w:rPr>
          <w:noProof/>
        </w:rPr>
        <w:t xml:space="preserve">, verður javnað á sama hátt, sum </w:t>
      </w:r>
      <w:r w:rsidR="00F07A1C" w:rsidRPr="004A0C02">
        <w:rPr>
          <w:noProof/>
        </w:rPr>
        <w:t>upphæddirnar</w:t>
      </w:r>
      <w:r w:rsidR="00F07A1C">
        <w:rPr>
          <w:noProof/>
        </w:rPr>
        <w:t xml:space="preserve"> sambært </w:t>
      </w:r>
      <w:bookmarkStart w:id="6" w:name="_Hlk129248992"/>
      <w:r w:rsidR="00F07A1C">
        <w:rPr>
          <w:noProof/>
        </w:rPr>
        <w:t>§ 42, stk. 6, § 57, stk. 2 og § 59, stk. 1</w:t>
      </w:r>
      <w:bookmarkEnd w:id="6"/>
      <w:r>
        <w:rPr>
          <w:noProof/>
        </w:rPr>
        <w:t xml:space="preserve">. </w:t>
      </w:r>
      <w:r w:rsidR="00F07A1C">
        <w:rPr>
          <w:noProof/>
        </w:rPr>
        <w:t xml:space="preserve">Nevndu upphæddir verða javnaðar </w:t>
      </w:r>
      <w:r w:rsidR="006B6F06">
        <w:rPr>
          <w:noProof/>
        </w:rPr>
        <w:t xml:space="preserve">sambært § 43, stk. 1 </w:t>
      </w:r>
      <w:r w:rsidR="00F07A1C">
        <w:rPr>
          <w:noProof/>
        </w:rPr>
        <w:t>av landsstýrismanninum, eftir tilmæli frá Vanlukkutryggingarráðnum, við broytingini í tí til eina og hvørja tíð galdandi høvuðssáttmála millum Føroya Arbeiðarafelag og Føroya Arbeiðsgevarafelag</w:t>
      </w:r>
      <w:r w:rsidR="00DE1485">
        <w:rPr>
          <w:noProof/>
        </w:rPr>
        <w:t>, avrundað til nærmast</w:t>
      </w:r>
      <w:r w:rsidR="00CB2470">
        <w:rPr>
          <w:noProof/>
        </w:rPr>
        <w:t>u</w:t>
      </w:r>
      <w:r w:rsidR="00DE1485">
        <w:rPr>
          <w:noProof/>
        </w:rPr>
        <w:t xml:space="preserve"> 100 krónur.</w:t>
      </w:r>
      <w:r w:rsidR="00F07A1C">
        <w:rPr>
          <w:noProof/>
        </w:rPr>
        <w:t xml:space="preserve"> </w:t>
      </w:r>
    </w:p>
    <w:p w14:paraId="7C31084C" w14:textId="77777777" w:rsidR="004A0C02" w:rsidRDefault="004A0C02">
      <w:pPr>
        <w:spacing w:after="0" w:line="276" w:lineRule="auto"/>
        <w:jc w:val="both"/>
        <w:rPr>
          <w:noProof/>
        </w:rPr>
      </w:pPr>
    </w:p>
    <w:p w14:paraId="7F24452F" w14:textId="18AF348A" w:rsidR="00DE1485" w:rsidRDefault="004A0C02">
      <w:pPr>
        <w:spacing w:after="0" w:line="276" w:lineRule="auto"/>
        <w:jc w:val="both"/>
        <w:rPr>
          <w:noProof/>
        </w:rPr>
      </w:pPr>
      <w:r>
        <w:rPr>
          <w:noProof/>
        </w:rPr>
        <w:t>Við uppskotinum verður</w:t>
      </w:r>
      <w:r w:rsidR="00DE1485">
        <w:rPr>
          <w:noProof/>
        </w:rPr>
        <w:t xml:space="preserve"> framhaldandi árlig endurgjaldsveiting </w:t>
      </w:r>
      <w:r>
        <w:rPr>
          <w:noProof/>
        </w:rPr>
        <w:t>fyri mist vinnuføri</w:t>
      </w:r>
      <w:r w:rsidR="00DE1485">
        <w:rPr>
          <w:noProof/>
        </w:rPr>
        <w:t xml:space="preserve"> javnað</w:t>
      </w:r>
      <w:r>
        <w:rPr>
          <w:noProof/>
        </w:rPr>
        <w:t xml:space="preserve"> hvørt ár so leingi, sum tryggjaði hevur rætt til veitingina.</w:t>
      </w:r>
      <w:r w:rsidR="00DE1485">
        <w:rPr>
          <w:noProof/>
        </w:rPr>
        <w:t xml:space="preserve"> </w:t>
      </w:r>
      <w:r>
        <w:rPr>
          <w:noProof/>
        </w:rPr>
        <w:t>Á</w:t>
      </w:r>
      <w:r w:rsidR="00DE1485">
        <w:rPr>
          <w:noProof/>
        </w:rPr>
        <w:t xml:space="preserve"> </w:t>
      </w:r>
      <w:r>
        <w:rPr>
          <w:noProof/>
        </w:rPr>
        <w:t>henda</w:t>
      </w:r>
      <w:r w:rsidR="00DE1485">
        <w:rPr>
          <w:noProof/>
        </w:rPr>
        <w:t xml:space="preserve"> hátt</w:t>
      </w:r>
      <w:r w:rsidR="005B64F8">
        <w:rPr>
          <w:noProof/>
        </w:rPr>
        <w:t xml:space="preserve"> </w:t>
      </w:r>
      <w:r w:rsidR="00CB2470">
        <w:rPr>
          <w:noProof/>
        </w:rPr>
        <w:t>var</w:t>
      </w:r>
      <w:r>
        <w:rPr>
          <w:noProof/>
        </w:rPr>
        <w:t>ð</w:t>
      </w:r>
      <w:r w:rsidR="00CB2470">
        <w:rPr>
          <w:noProof/>
        </w:rPr>
        <w:t xml:space="preserve">veitir </w:t>
      </w:r>
      <w:r w:rsidR="00A0696A">
        <w:rPr>
          <w:noProof/>
        </w:rPr>
        <w:t>árliga útgoldnað endurgjaldsupphæddin fyri mist vinnuføri</w:t>
      </w:r>
      <w:r w:rsidR="00CB2470">
        <w:rPr>
          <w:noProof/>
        </w:rPr>
        <w:t xml:space="preserve"> sítt real</w:t>
      </w:r>
      <w:r w:rsidR="00A0696A">
        <w:rPr>
          <w:noProof/>
        </w:rPr>
        <w:t>virði í mun til lønarvøksturin í samfelagnum.</w:t>
      </w:r>
    </w:p>
    <w:p w14:paraId="45FAF4E5" w14:textId="77777777" w:rsidR="004A0C02" w:rsidRDefault="004A0C02">
      <w:pPr>
        <w:spacing w:after="0" w:line="276" w:lineRule="auto"/>
        <w:jc w:val="both"/>
        <w:rPr>
          <w:noProof/>
        </w:rPr>
      </w:pPr>
    </w:p>
    <w:p w14:paraId="2D599451" w14:textId="60EE76C4" w:rsidR="00E60021" w:rsidRDefault="00A0696A">
      <w:pPr>
        <w:spacing w:after="0" w:line="276" w:lineRule="auto"/>
        <w:jc w:val="both"/>
        <w:rPr>
          <w:noProof/>
        </w:rPr>
      </w:pPr>
      <w:r>
        <w:rPr>
          <w:noProof/>
        </w:rPr>
        <w:t xml:space="preserve">Endamálið við broytingini er at fyribyrgja, at árligt útgoldna endurgjaldsupphæddin minkar í </w:t>
      </w:r>
      <w:r w:rsidR="00C711B9">
        <w:rPr>
          <w:noProof/>
        </w:rPr>
        <w:t>real</w:t>
      </w:r>
      <w:r>
        <w:rPr>
          <w:noProof/>
        </w:rPr>
        <w:t>virði samsvarandi prísvøkstrinum í samfelagnum. Broytingin hevur týdning fyri øll, sum fáa tilluta</w:t>
      </w:r>
      <w:r w:rsidR="00894903">
        <w:rPr>
          <w:noProof/>
        </w:rPr>
        <w:t>ð</w:t>
      </w:r>
      <w:r>
        <w:rPr>
          <w:noProof/>
        </w:rPr>
        <w:t xml:space="preserve"> framhaldandi árliga endurgjaldsveiting fyri mist vinnuføri, </w:t>
      </w:r>
      <w:r w:rsidR="00C711B9">
        <w:rPr>
          <w:noProof/>
        </w:rPr>
        <w:t xml:space="preserve">og broytingin hevur </w:t>
      </w:r>
      <w:r>
        <w:rPr>
          <w:noProof/>
        </w:rPr>
        <w:t>serliga</w:t>
      </w:r>
      <w:r w:rsidR="00C711B9">
        <w:rPr>
          <w:noProof/>
        </w:rPr>
        <w:t>n týdning</w:t>
      </w:r>
      <w:r>
        <w:rPr>
          <w:noProof/>
        </w:rPr>
        <w:t xml:space="preserve"> fyri yngri fólk, sum skulu hava hesa veiting í nógv ár.</w:t>
      </w:r>
    </w:p>
    <w:p w14:paraId="1CE5163E" w14:textId="77777777" w:rsidR="006B6F06" w:rsidRDefault="006B6F06" w:rsidP="002C3518">
      <w:pPr>
        <w:spacing w:after="0" w:line="276" w:lineRule="auto"/>
        <w:jc w:val="both"/>
        <w:rPr>
          <w:b/>
          <w:bCs/>
          <w:noProof/>
        </w:rPr>
      </w:pPr>
    </w:p>
    <w:p w14:paraId="2EB6DEC7" w14:textId="69A858C1" w:rsidR="0065440A" w:rsidRPr="004F0613" w:rsidRDefault="0065440A">
      <w:pPr>
        <w:spacing w:after="0" w:line="276" w:lineRule="auto"/>
        <w:jc w:val="both"/>
        <w:rPr>
          <w:b/>
          <w:bCs/>
          <w:noProof/>
        </w:rPr>
      </w:pPr>
      <w:r w:rsidRPr="004F0613">
        <w:rPr>
          <w:b/>
          <w:bCs/>
          <w:noProof/>
        </w:rPr>
        <w:t xml:space="preserve">§ 1, nr. </w:t>
      </w:r>
      <w:r w:rsidR="000B2A48">
        <w:rPr>
          <w:b/>
          <w:bCs/>
          <w:noProof/>
        </w:rPr>
        <w:t>3</w:t>
      </w:r>
      <w:r>
        <w:rPr>
          <w:b/>
          <w:bCs/>
          <w:noProof/>
        </w:rPr>
        <w:t xml:space="preserve"> og nr. </w:t>
      </w:r>
      <w:r w:rsidR="000B2A48">
        <w:rPr>
          <w:b/>
          <w:bCs/>
          <w:noProof/>
        </w:rPr>
        <w:t>5</w:t>
      </w:r>
    </w:p>
    <w:p w14:paraId="56F34CE5" w14:textId="29A20294" w:rsidR="003E1C2E" w:rsidRPr="00555CE7" w:rsidRDefault="0065440A" w:rsidP="003E1C2E">
      <w:pPr>
        <w:spacing w:after="0" w:line="276" w:lineRule="auto"/>
        <w:jc w:val="both"/>
        <w:rPr>
          <w:noProof/>
        </w:rPr>
      </w:pPr>
      <w:r>
        <w:rPr>
          <w:noProof/>
        </w:rPr>
        <w:t xml:space="preserve">Broytingin snýr seg um at broyta aldursmarkið í §§ 50 og 66 í </w:t>
      </w:r>
      <w:r w:rsidR="00ED4013">
        <w:rPr>
          <w:noProof/>
        </w:rPr>
        <w:t>Arbeiðsskaðatrygginga</w:t>
      </w:r>
      <w:r>
        <w:rPr>
          <w:noProof/>
        </w:rPr>
        <w:t xml:space="preserve">rlógini frá </w:t>
      </w:r>
      <w:r w:rsidR="00C711B9">
        <w:rPr>
          <w:noProof/>
        </w:rPr>
        <w:t xml:space="preserve">“67 ár” </w:t>
      </w:r>
      <w:r>
        <w:rPr>
          <w:noProof/>
        </w:rPr>
        <w:t>til fólkapensjónsald</w:t>
      </w:r>
      <w:r w:rsidR="00C711B9">
        <w:rPr>
          <w:noProof/>
        </w:rPr>
        <w:t>u</w:t>
      </w:r>
      <w:r>
        <w:rPr>
          <w:noProof/>
        </w:rPr>
        <w:t>rin</w:t>
      </w:r>
      <w:r w:rsidR="00C711B9">
        <w:rPr>
          <w:noProof/>
        </w:rPr>
        <w:t xml:space="preserve"> hjá tryggjaða sambært</w:t>
      </w:r>
      <w:r>
        <w:rPr>
          <w:noProof/>
        </w:rPr>
        <w:t xml:space="preserve"> løgtingslóg um almannapensjónir o.a. Hetta verður gjørt, fyri at rættindir og skyldur, ið fylgja av </w:t>
      </w:r>
      <w:r w:rsidR="00ED4013">
        <w:rPr>
          <w:noProof/>
        </w:rPr>
        <w:t>Arbeiðsskaðatrygginga</w:t>
      </w:r>
      <w:r>
        <w:rPr>
          <w:noProof/>
        </w:rPr>
        <w:t xml:space="preserve">rlógini, </w:t>
      </w:r>
      <w:r w:rsidR="00C711B9">
        <w:rPr>
          <w:noProof/>
        </w:rPr>
        <w:t xml:space="preserve">ikki </w:t>
      </w:r>
      <w:r>
        <w:rPr>
          <w:noProof/>
        </w:rPr>
        <w:t xml:space="preserve">halda uppat, </w:t>
      </w:r>
      <w:r w:rsidR="00C711B9">
        <w:rPr>
          <w:noProof/>
        </w:rPr>
        <w:t xml:space="preserve">fyrrenn </w:t>
      </w:r>
      <w:r>
        <w:rPr>
          <w:noProof/>
        </w:rPr>
        <w:t xml:space="preserve">persónar fáa rætt til </w:t>
      </w:r>
      <w:r w:rsidR="00C711B9">
        <w:rPr>
          <w:noProof/>
        </w:rPr>
        <w:t>fólka</w:t>
      </w:r>
      <w:r>
        <w:rPr>
          <w:noProof/>
        </w:rPr>
        <w:t>pensjón sambært løgtingslóg um almannapensjónir o.a.</w:t>
      </w:r>
      <w:r w:rsidR="003E1C2E">
        <w:rPr>
          <w:noProof/>
        </w:rPr>
        <w:t xml:space="preserve"> </w:t>
      </w:r>
      <w:r w:rsidR="00C711B9">
        <w:rPr>
          <w:noProof/>
        </w:rPr>
        <w:t>Í</w:t>
      </w:r>
      <w:r w:rsidR="003E1C2E">
        <w:rPr>
          <w:noProof/>
        </w:rPr>
        <w:t xml:space="preserve"> løgtingslóg um almannapensjónir o.a. </w:t>
      </w:r>
      <w:r w:rsidR="00C711B9">
        <w:rPr>
          <w:noProof/>
        </w:rPr>
        <w:t xml:space="preserve">er ásett, </w:t>
      </w:r>
      <w:r w:rsidR="003E1C2E">
        <w:rPr>
          <w:noProof/>
        </w:rPr>
        <w:t xml:space="preserve">at pensjónsaldurin er 67½ ár fyri persónar føddir í tíðarskeiðinum 1. juli 1957 til 31. desember 1962, og 68 ár fyri persónar føddir eftir 31. desember 1962. Við at broyta aldursmarkið í </w:t>
      </w:r>
      <w:r w:rsidR="00ED4013">
        <w:rPr>
          <w:noProof/>
        </w:rPr>
        <w:t>Arbeiðsskaðatrygginga</w:t>
      </w:r>
      <w:r w:rsidR="003E1C2E">
        <w:rPr>
          <w:noProof/>
        </w:rPr>
        <w:t xml:space="preserve">rlógini til at fylgja fólkapensjónsaldrinum sambært løgtingslóg um </w:t>
      </w:r>
      <w:r w:rsidR="003E1C2E">
        <w:rPr>
          <w:noProof/>
        </w:rPr>
        <w:lastRenderedPageBreak/>
        <w:t xml:space="preserve">almannapensjónir o.a. verður fyribyrgt, at tað verður eitt tíðarbil, har persónar við arbeiðsskaða ella vinnusjúku hvørki fáa arbeiðsskaðatrygging ella </w:t>
      </w:r>
      <w:r w:rsidR="00C711B9">
        <w:rPr>
          <w:noProof/>
        </w:rPr>
        <w:t>fólka</w:t>
      </w:r>
      <w:r w:rsidR="003E1C2E">
        <w:rPr>
          <w:noProof/>
        </w:rPr>
        <w:t>pensjón.</w:t>
      </w:r>
    </w:p>
    <w:p w14:paraId="2078677D" w14:textId="4626EF77" w:rsidR="000B2A48" w:rsidRDefault="000B2A48">
      <w:pPr>
        <w:spacing w:after="0" w:line="276" w:lineRule="auto"/>
        <w:jc w:val="both"/>
        <w:rPr>
          <w:noProof/>
        </w:rPr>
      </w:pPr>
    </w:p>
    <w:p w14:paraId="5EBD85E4" w14:textId="26B77639" w:rsidR="000B2A48" w:rsidRDefault="000B2A48">
      <w:pPr>
        <w:spacing w:after="0" w:line="276" w:lineRule="auto"/>
        <w:jc w:val="both"/>
        <w:rPr>
          <w:b/>
          <w:bCs/>
          <w:noProof/>
        </w:rPr>
      </w:pPr>
      <w:r>
        <w:rPr>
          <w:b/>
          <w:bCs/>
          <w:noProof/>
        </w:rPr>
        <w:t>§ 1, nr. 4</w:t>
      </w:r>
    </w:p>
    <w:p w14:paraId="701944BF" w14:textId="6992D750" w:rsidR="000B2A48" w:rsidRPr="000B2A48" w:rsidRDefault="004A0C02">
      <w:pPr>
        <w:spacing w:after="0" w:line="276" w:lineRule="auto"/>
        <w:jc w:val="both"/>
        <w:rPr>
          <w:noProof/>
        </w:rPr>
      </w:pPr>
      <w:r>
        <w:rPr>
          <w:noProof/>
        </w:rPr>
        <w:t xml:space="preserve">Í § 50 verður nýtt stykki 4 gjørt, sum ásetur, at </w:t>
      </w:r>
      <w:r w:rsidR="003E1C2E">
        <w:rPr>
          <w:noProof/>
        </w:rPr>
        <w:t>veitingin sambært § 50 verður javnað sambært § 43, stk. 4. Sí eisini viðmerkingarnar omanfyri til § 1, nr. 2.</w:t>
      </w:r>
    </w:p>
    <w:p w14:paraId="609BB3B3" w14:textId="77777777" w:rsidR="00E60021" w:rsidRPr="00C8383D" w:rsidRDefault="00E60021">
      <w:pPr>
        <w:spacing w:after="0" w:line="276" w:lineRule="auto"/>
        <w:jc w:val="both"/>
        <w:rPr>
          <w:noProof/>
        </w:rPr>
      </w:pPr>
    </w:p>
    <w:p w14:paraId="3BC1A10E" w14:textId="77777777" w:rsidR="00E60021" w:rsidRPr="00C8383D" w:rsidRDefault="00E60021">
      <w:pPr>
        <w:spacing w:after="0" w:line="276" w:lineRule="auto"/>
        <w:jc w:val="both"/>
        <w:rPr>
          <w:b/>
          <w:noProof/>
        </w:rPr>
      </w:pPr>
      <w:r w:rsidRPr="00C8383D">
        <w:rPr>
          <w:b/>
          <w:noProof/>
        </w:rPr>
        <w:t>Til § 2</w:t>
      </w:r>
    </w:p>
    <w:p w14:paraId="0E4C6D3B" w14:textId="0E7A7873" w:rsidR="00E60021" w:rsidRPr="00C8383D" w:rsidRDefault="00A0696A">
      <w:pPr>
        <w:spacing w:after="0" w:line="276" w:lineRule="auto"/>
        <w:jc w:val="both"/>
        <w:rPr>
          <w:noProof/>
        </w:rPr>
      </w:pPr>
      <w:r>
        <w:rPr>
          <w:noProof/>
        </w:rPr>
        <w:t xml:space="preserve">Broytingin kemur í gildi beinanvegin, sum løgtingslógin er lýst. Tað merkir, at endurgjald fyri mist vinnuføri, ið verður veitt sum framhaldandi árlig veiting, verður javnað fyrstu ferð, fyrstu ferð endurgjaldsupphæddirnar sambært § 43 verða javnaðar, eftir at </w:t>
      </w:r>
      <w:r w:rsidR="00ED4013">
        <w:rPr>
          <w:noProof/>
        </w:rPr>
        <w:t>løgtingslóg</w:t>
      </w:r>
      <w:r>
        <w:rPr>
          <w:noProof/>
        </w:rPr>
        <w:t>in er komin í gildi.</w:t>
      </w:r>
      <w:r w:rsidR="0065440A">
        <w:rPr>
          <w:noProof/>
        </w:rPr>
        <w:t xml:space="preserve"> L</w:t>
      </w:r>
      <w:r w:rsidR="00ED4013">
        <w:rPr>
          <w:noProof/>
        </w:rPr>
        <w:t>øgtingsl</w:t>
      </w:r>
      <w:r w:rsidR="0065440A">
        <w:rPr>
          <w:noProof/>
        </w:rPr>
        <w:t>ógin er galdandi fyri øll endurgjøld, ið verða veitt sum framhaldandi veiting</w:t>
      </w:r>
      <w:r w:rsidR="00C711B9">
        <w:rPr>
          <w:noProof/>
        </w:rPr>
        <w:t xml:space="preserve"> eftir at lógin kom í gildi</w:t>
      </w:r>
      <w:r w:rsidR="0065440A">
        <w:rPr>
          <w:noProof/>
        </w:rPr>
        <w:t xml:space="preserve">, eisini tey, sum eru tillutað áðrenn lógin kom í gildi. Endurgjøld </w:t>
      </w:r>
      <w:r w:rsidR="00894903">
        <w:rPr>
          <w:noProof/>
        </w:rPr>
        <w:t>sambært</w:t>
      </w:r>
      <w:r w:rsidR="0065440A">
        <w:rPr>
          <w:noProof/>
        </w:rPr>
        <w:t xml:space="preserve"> § 50, sum vóru tillutað, áðrenn lógin kom í gildi, verða javnað við útgangsstøði í teirri upp</w:t>
      </w:r>
      <w:r w:rsidR="00AD28FC">
        <w:rPr>
          <w:noProof/>
        </w:rPr>
        <w:t>h</w:t>
      </w:r>
      <w:r w:rsidR="0065440A">
        <w:rPr>
          <w:noProof/>
        </w:rPr>
        <w:t>ædd, sum varð útgoldin</w:t>
      </w:r>
      <w:r w:rsidR="003E1C2E">
        <w:rPr>
          <w:noProof/>
        </w:rPr>
        <w:t>,</w:t>
      </w:r>
      <w:r w:rsidR="0065440A">
        <w:rPr>
          <w:noProof/>
        </w:rPr>
        <w:t xml:space="preserve"> áðrenn </w:t>
      </w:r>
      <w:r w:rsidR="00AD28FC">
        <w:rPr>
          <w:noProof/>
        </w:rPr>
        <w:t>lógin kom í gildi.</w:t>
      </w:r>
    </w:p>
    <w:p w14:paraId="1367752C" w14:textId="77777777" w:rsidR="00582E1F" w:rsidRPr="00C8383D" w:rsidRDefault="00582E1F" w:rsidP="00EE0487">
      <w:pPr>
        <w:spacing w:after="0" w:line="276" w:lineRule="auto"/>
        <w:jc w:val="both"/>
        <w:rPr>
          <w:noProof/>
        </w:rPr>
      </w:pPr>
    </w:p>
    <w:p w14:paraId="0A6FF783" w14:textId="77777777" w:rsidR="00582E1F" w:rsidRDefault="00582E1F" w:rsidP="00EE0487">
      <w:pPr>
        <w:spacing w:after="0" w:line="276" w:lineRule="auto"/>
        <w:jc w:val="center"/>
        <w:rPr>
          <w:noProof/>
        </w:rPr>
      </w:pPr>
    </w:p>
    <w:p w14:paraId="7A0B2D9D" w14:textId="548B98C1" w:rsidR="00E60021" w:rsidRPr="00C8383D" w:rsidRDefault="00A0696A" w:rsidP="00EE0487">
      <w:pPr>
        <w:spacing w:after="0" w:line="276" w:lineRule="auto"/>
        <w:jc w:val="center"/>
        <w:rPr>
          <w:noProof/>
        </w:rPr>
      </w:pPr>
      <w:r>
        <w:rPr>
          <w:noProof/>
        </w:rPr>
        <w:t>Umhvørvismálaráðið</w:t>
      </w:r>
      <w:r w:rsidR="00E60021" w:rsidRPr="00C8383D">
        <w:rPr>
          <w:noProof/>
        </w:rPr>
        <w:t xml:space="preserve">, </w:t>
      </w:r>
      <w:r>
        <w:rPr>
          <w:noProof/>
        </w:rPr>
        <w:t>xx.xx.2023</w:t>
      </w:r>
      <w:r w:rsidR="00E60021" w:rsidRPr="00C8383D">
        <w:rPr>
          <w:noProof/>
        </w:rPr>
        <w:t>.</w:t>
      </w:r>
    </w:p>
    <w:p w14:paraId="19E1CFC2" w14:textId="77777777" w:rsidR="00E60021" w:rsidRPr="00C8383D" w:rsidRDefault="00E60021" w:rsidP="00EE0487">
      <w:pPr>
        <w:spacing w:after="0" w:line="276" w:lineRule="auto"/>
        <w:jc w:val="center"/>
        <w:rPr>
          <w:noProof/>
        </w:rPr>
      </w:pPr>
    </w:p>
    <w:p w14:paraId="06EBF25D" w14:textId="7D228653" w:rsidR="00E60021" w:rsidRPr="00C8383D" w:rsidRDefault="00A0696A" w:rsidP="00EE0487">
      <w:pPr>
        <w:spacing w:after="0" w:line="276" w:lineRule="auto"/>
        <w:jc w:val="center"/>
        <w:rPr>
          <w:b/>
          <w:noProof/>
        </w:rPr>
      </w:pPr>
      <w:r>
        <w:rPr>
          <w:b/>
          <w:noProof/>
        </w:rPr>
        <w:t>Ingilín D. Strøm</w:t>
      </w:r>
    </w:p>
    <w:p w14:paraId="24BD85B2" w14:textId="438B5D6B" w:rsidR="00E60021" w:rsidRPr="00C8383D" w:rsidRDefault="00E60021" w:rsidP="00EE0487">
      <w:pPr>
        <w:spacing w:after="0" w:line="276" w:lineRule="auto"/>
        <w:jc w:val="center"/>
        <w:rPr>
          <w:noProof/>
        </w:rPr>
      </w:pPr>
      <w:r w:rsidRPr="00C8383D">
        <w:rPr>
          <w:noProof/>
        </w:rPr>
        <w:t>landsstýris</w:t>
      </w:r>
      <w:r w:rsidR="00582E1F">
        <w:rPr>
          <w:noProof/>
        </w:rPr>
        <w:t>maður</w:t>
      </w:r>
    </w:p>
    <w:p w14:paraId="15BEC214" w14:textId="77777777" w:rsidR="00E60021" w:rsidRPr="00C8383D" w:rsidRDefault="00E60021" w:rsidP="00EE0487">
      <w:pPr>
        <w:spacing w:after="0" w:line="276" w:lineRule="auto"/>
        <w:jc w:val="right"/>
        <w:rPr>
          <w:noProof/>
        </w:rPr>
      </w:pPr>
    </w:p>
    <w:p w14:paraId="52282686" w14:textId="1A4EEFE8" w:rsidR="00E60021" w:rsidRPr="00C8383D" w:rsidRDefault="00E60021" w:rsidP="00EE0487">
      <w:pPr>
        <w:spacing w:after="0" w:line="276" w:lineRule="auto"/>
        <w:jc w:val="right"/>
        <w:rPr>
          <w:noProof/>
        </w:rPr>
      </w:pPr>
      <w:r w:rsidRPr="00C8383D">
        <w:rPr>
          <w:noProof/>
        </w:rPr>
        <w:t xml:space="preserve">/ </w:t>
      </w:r>
      <w:r w:rsidR="00A0696A">
        <w:rPr>
          <w:noProof/>
        </w:rPr>
        <w:t>Pól E. Egholm</w:t>
      </w:r>
    </w:p>
    <w:p w14:paraId="695AB16D" w14:textId="77777777" w:rsidR="00E60021" w:rsidRPr="00C8383D" w:rsidRDefault="00E60021" w:rsidP="00EE0487">
      <w:pPr>
        <w:spacing w:after="0" w:line="276" w:lineRule="auto"/>
        <w:jc w:val="right"/>
        <w:rPr>
          <w:noProof/>
        </w:rPr>
      </w:pPr>
    </w:p>
    <w:p w14:paraId="0AC68A7C" w14:textId="77777777" w:rsidR="00E60021" w:rsidRPr="00C8383D" w:rsidRDefault="00E60021" w:rsidP="00EE0487">
      <w:pPr>
        <w:spacing w:after="0" w:line="276" w:lineRule="auto"/>
        <w:rPr>
          <w:b/>
          <w:noProof/>
        </w:rPr>
      </w:pPr>
      <w:r w:rsidRPr="00C8383D">
        <w:rPr>
          <w:b/>
          <w:noProof/>
        </w:rPr>
        <w:t>Yvirlit yvir fylgiskjøl:</w:t>
      </w:r>
    </w:p>
    <w:p w14:paraId="7DBB742F" w14:textId="77777777" w:rsidR="00E60021" w:rsidRPr="00C8383D" w:rsidRDefault="00E60021" w:rsidP="00EE0487">
      <w:pPr>
        <w:spacing w:after="0" w:line="276" w:lineRule="auto"/>
        <w:rPr>
          <w:noProof/>
        </w:rPr>
      </w:pPr>
      <w:r w:rsidRPr="00C8383D">
        <w:rPr>
          <w:noProof/>
        </w:rPr>
        <w:t>Fylgiskjal 1: Javntekstur</w:t>
      </w:r>
    </w:p>
    <w:p w14:paraId="1B6537AC" w14:textId="77777777" w:rsidR="00E60021" w:rsidRPr="00C8383D" w:rsidRDefault="00E60021" w:rsidP="00EE0487">
      <w:pPr>
        <w:spacing w:after="0" w:line="276" w:lineRule="auto"/>
        <w:rPr>
          <w:noProof/>
        </w:rPr>
      </w:pPr>
      <w:r w:rsidRPr="00C8383D">
        <w:rPr>
          <w:noProof/>
        </w:rPr>
        <w:t xml:space="preserve">Fylgiskjal 2: </w:t>
      </w:r>
    </w:p>
    <w:p w14:paraId="15157A0F" w14:textId="77777777" w:rsidR="00E60021" w:rsidRPr="00C8383D" w:rsidRDefault="00E60021" w:rsidP="00EE0487">
      <w:pPr>
        <w:spacing w:after="0" w:line="276" w:lineRule="auto"/>
        <w:rPr>
          <w:rFonts w:eastAsiaTheme="minorHAnsi"/>
          <w:noProof/>
        </w:rPr>
      </w:pPr>
      <w:r w:rsidRPr="00C8383D">
        <w:rPr>
          <w:noProof/>
        </w:rPr>
        <w:t>Fylgiskjal 3:</w:t>
      </w:r>
    </w:p>
    <w:bookmarkEnd w:id="0"/>
    <w:p w14:paraId="1477D179" w14:textId="60EF358A" w:rsidR="00680FEB" w:rsidRDefault="00680FEB">
      <w:pPr>
        <w:spacing w:after="0"/>
        <w:rPr>
          <w:b/>
          <w:bCs/>
          <w:lang w:eastAsia="en-US"/>
        </w:rPr>
      </w:pPr>
    </w:p>
    <w:sectPr w:rsidR="00680FEB" w:rsidSect="001E4F35">
      <w:headerReference w:type="even" r:id="rId10"/>
      <w:headerReference w:type="default" r:id="rId11"/>
      <w:footerReference w:type="default" r:id="rId12"/>
      <w:type w:val="continuous"/>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739A" w14:textId="77777777" w:rsidR="0002269B" w:rsidRDefault="0002269B">
      <w:pPr>
        <w:spacing w:after="0"/>
      </w:pPr>
      <w:r>
        <w:separator/>
      </w:r>
    </w:p>
  </w:endnote>
  <w:endnote w:type="continuationSeparator" w:id="0">
    <w:p w14:paraId="099D8561" w14:textId="77777777" w:rsidR="0002269B" w:rsidRDefault="00022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53FD" w14:textId="77777777" w:rsidR="00582E1F" w:rsidRDefault="00582E1F" w:rsidP="00582E1F">
    <w:pPr>
      <w:pStyle w:val="Footer"/>
      <w:rPr>
        <w:bCs/>
      </w:rPr>
    </w:pPr>
  </w:p>
  <w:p w14:paraId="4AB919C8" w14:textId="73EA6D55" w:rsidR="00582E1F" w:rsidRPr="00582E1F" w:rsidRDefault="00582E1F" w:rsidP="00582E1F">
    <w:pPr>
      <w:pStyle w:val="Footer"/>
      <w:jc w:val="center"/>
    </w:pPr>
    <w:r w:rsidRPr="00582E1F">
      <w:rPr>
        <w:bCs/>
      </w:rPr>
      <w:fldChar w:fldCharType="begin"/>
    </w:r>
    <w:r w:rsidRPr="00582E1F">
      <w:rPr>
        <w:bCs/>
      </w:rPr>
      <w:instrText>PAGE</w:instrText>
    </w:r>
    <w:r w:rsidRPr="00582E1F">
      <w:rPr>
        <w:bCs/>
      </w:rPr>
      <w:fldChar w:fldCharType="separate"/>
    </w:r>
    <w:r w:rsidRPr="00582E1F">
      <w:rPr>
        <w:bCs/>
      </w:rPr>
      <w:t>3</w:t>
    </w:r>
    <w:r w:rsidRPr="00582E1F">
      <w:fldChar w:fldCharType="end"/>
    </w:r>
    <w:r w:rsidRPr="00582E1F">
      <w:t xml:space="preserve"> / </w:t>
    </w:r>
    <w:r w:rsidRPr="00582E1F">
      <w:rPr>
        <w:bCs/>
      </w:rPr>
      <w:fldChar w:fldCharType="begin"/>
    </w:r>
    <w:r w:rsidRPr="00582E1F">
      <w:rPr>
        <w:bCs/>
      </w:rPr>
      <w:instrText>NUMPAGES</w:instrText>
    </w:r>
    <w:r w:rsidRPr="00582E1F">
      <w:rPr>
        <w:bCs/>
      </w:rPr>
      <w:fldChar w:fldCharType="separate"/>
    </w:r>
    <w:r w:rsidRPr="00582E1F">
      <w:rPr>
        <w:bCs/>
      </w:rPr>
      <w:t>9</w:t>
    </w:r>
    <w:r w:rsidRPr="00582E1F">
      <w:fldChar w:fldCharType="end"/>
    </w:r>
  </w:p>
  <w:p w14:paraId="3C330A58" w14:textId="77777777" w:rsidR="00582E1F" w:rsidRDefault="00582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Footer"/>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8418" w14:textId="77777777" w:rsidR="0002269B" w:rsidRDefault="0002269B">
      <w:pPr>
        <w:spacing w:after="0"/>
      </w:pPr>
      <w:r>
        <w:separator/>
      </w:r>
    </w:p>
  </w:footnote>
  <w:footnote w:type="continuationSeparator" w:id="0">
    <w:p w14:paraId="0F8CE3ED" w14:textId="77777777" w:rsidR="0002269B" w:rsidRDefault="0002269B">
      <w:pPr>
        <w:spacing w:after="0"/>
      </w:pPr>
      <w:r>
        <w:continuationSeparator/>
      </w:r>
    </w:p>
  </w:footnote>
  <w:footnote w:id="1">
    <w:p w14:paraId="7C6E86E3" w14:textId="77777777" w:rsidR="002D7D65" w:rsidRDefault="002D7D65" w:rsidP="002D7D65">
      <w:pPr>
        <w:pStyle w:val="FootnoteText"/>
      </w:pPr>
      <w:r w:rsidRPr="00BF01FE">
        <w:rPr>
          <w:rStyle w:val="FootnoteReference"/>
          <w:vertAlign w:val="superscript"/>
        </w:rPr>
        <w:footnoteRef/>
      </w:r>
      <w:r w:rsidRPr="00BF01FE">
        <w:rPr>
          <w:vertAlign w:val="superscript"/>
        </w:rPr>
        <w:t xml:space="preserve"> </w:t>
      </w:r>
      <w:r w:rsidRPr="00BF01FE">
        <w:t xml:space="preserve">Føroya </w:t>
      </w:r>
      <w:proofErr w:type="spellStart"/>
      <w:r w:rsidRPr="00BF01FE">
        <w:t>Vanlukkutryggingarráð</w:t>
      </w:r>
      <w:proofErr w:type="spellEnd"/>
      <w:r w:rsidRPr="00BF01FE">
        <w:t xml:space="preserve"> </w:t>
      </w:r>
      <w:hyperlink r:id="rId1" w:history="1">
        <w:r w:rsidRPr="00BF01FE">
          <w:rPr>
            <w:rStyle w:val="Hyperlink"/>
          </w:rPr>
          <w:t>https://domstol.dk/fo/faeroeerne/om-retten-paa-faeroeerne/nevndir-og-rad/faeroeernes-ulykkesforsikringsraad/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Header"/>
    </w:pPr>
  </w:p>
  <w:p w14:paraId="479E2C0B" w14:textId="77777777" w:rsidR="00532AF3" w:rsidRPr="00DA32B2" w:rsidRDefault="0053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Header"/>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733"/>
    <w:multiLevelType w:val="hybridMultilevel"/>
    <w:tmpl w:val="FC504DA0"/>
    <w:lvl w:ilvl="0" w:tplc="2C3C6B76">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533C68"/>
    <w:multiLevelType w:val="multilevel"/>
    <w:tmpl w:val="26C2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2269B"/>
    <w:rsid w:val="0002609A"/>
    <w:rsid w:val="0003064D"/>
    <w:rsid w:val="000475AA"/>
    <w:rsid w:val="00050599"/>
    <w:rsid w:val="00067A5B"/>
    <w:rsid w:val="00073F0E"/>
    <w:rsid w:val="0007570F"/>
    <w:rsid w:val="00081C11"/>
    <w:rsid w:val="000A129D"/>
    <w:rsid w:val="000B1057"/>
    <w:rsid w:val="000B2A48"/>
    <w:rsid w:val="000D42D4"/>
    <w:rsid w:val="000D7471"/>
    <w:rsid w:val="000F6B24"/>
    <w:rsid w:val="000F717F"/>
    <w:rsid w:val="00114E89"/>
    <w:rsid w:val="00124124"/>
    <w:rsid w:val="001261E6"/>
    <w:rsid w:val="0013220A"/>
    <w:rsid w:val="001662E4"/>
    <w:rsid w:val="0018539E"/>
    <w:rsid w:val="001A5B40"/>
    <w:rsid w:val="001A7AAD"/>
    <w:rsid w:val="001E182B"/>
    <w:rsid w:val="001E4F35"/>
    <w:rsid w:val="001E658D"/>
    <w:rsid w:val="001F46B0"/>
    <w:rsid w:val="00206449"/>
    <w:rsid w:val="002161D6"/>
    <w:rsid w:val="002173D7"/>
    <w:rsid w:val="00223BC7"/>
    <w:rsid w:val="002325BE"/>
    <w:rsid w:val="002434BA"/>
    <w:rsid w:val="00272EF8"/>
    <w:rsid w:val="002760BE"/>
    <w:rsid w:val="002A311D"/>
    <w:rsid w:val="002C3518"/>
    <w:rsid w:val="002D7D65"/>
    <w:rsid w:val="00321E96"/>
    <w:rsid w:val="00345802"/>
    <w:rsid w:val="00355A6B"/>
    <w:rsid w:val="003562BA"/>
    <w:rsid w:val="00373A12"/>
    <w:rsid w:val="00382D3E"/>
    <w:rsid w:val="00387EFF"/>
    <w:rsid w:val="003A14A9"/>
    <w:rsid w:val="003A4EEF"/>
    <w:rsid w:val="003E1C2E"/>
    <w:rsid w:val="00430A21"/>
    <w:rsid w:val="00430B3C"/>
    <w:rsid w:val="00445116"/>
    <w:rsid w:val="00481408"/>
    <w:rsid w:val="004A0C02"/>
    <w:rsid w:val="004B576F"/>
    <w:rsid w:val="004C2B53"/>
    <w:rsid w:val="004D112E"/>
    <w:rsid w:val="004E33F1"/>
    <w:rsid w:val="004E71E7"/>
    <w:rsid w:val="004F0613"/>
    <w:rsid w:val="004F2F95"/>
    <w:rsid w:val="00500E72"/>
    <w:rsid w:val="00500F83"/>
    <w:rsid w:val="005058D4"/>
    <w:rsid w:val="00510F74"/>
    <w:rsid w:val="005154E2"/>
    <w:rsid w:val="00522182"/>
    <w:rsid w:val="00532AF3"/>
    <w:rsid w:val="00555CE7"/>
    <w:rsid w:val="0056565C"/>
    <w:rsid w:val="005776D1"/>
    <w:rsid w:val="00582E1F"/>
    <w:rsid w:val="005B64F8"/>
    <w:rsid w:val="005F47FE"/>
    <w:rsid w:val="005F7AF1"/>
    <w:rsid w:val="006468FB"/>
    <w:rsid w:val="00650944"/>
    <w:rsid w:val="0065440A"/>
    <w:rsid w:val="00666543"/>
    <w:rsid w:val="00680FEB"/>
    <w:rsid w:val="00692A0F"/>
    <w:rsid w:val="006B6F06"/>
    <w:rsid w:val="006C6489"/>
    <w:rsid w:val="006D527C"/>
    <w:rsid w:val="00705A9F"/>
    <w:rsid w:val="007817E4"/>
    <w:rsid w:val="007B21E9"/>
    <w:rsid w:val="007E220B"/>
    <w:rsid w:val="007F6BA3"/>
    <w:rsid w:val="0082566C"/>
    <w:rsid w:val="00825CB3"/>
    <w:rsid w:val="00885451"/>
    <w:rsid w:val="00894903"/>
    <w:rsid w:val="008A2CCC"/>
    <w:rsid w:val="008B2636"/>
    <w:rsid w:val="0090300A"/>
    <w:rsid w:val="00915F2D"/>
    <w:rsid w:val="0092126D"/>
    <w:rsid w:val="009247B3"/>
    <w:rsid w:val="009514B9"/>
    <w:rsid w:val="00953772"/>
    <w:rsid w:val="0099427D"/>
    <w:rsid w:val="00997DB1"/>
    <w:rsid w:val="009B1CDB"/>
    <w:rsid w:val="009B5CBC"/>
    <w:rsid w:val="009B6330"/>
    <w:rsid w:val="009C0577"/>
    <w:rsid w:val="009F7183"/>
    <w:rsid w:val="00A0696A"/>
    <w:rsid w:val="00A21E7E"/>
    <w:rsid w:val="00A34327"/>
    <w:rsid w:val="00A43062"/>
    <w:rsid w:val="00A520AD"/>
    <w:rsid w:val="00A61458"/>
    <w:rsid w:val="00A8127C"/>
    <w:rsid w:val="00A8411B"/>
    <w:rsid w:val="00A963CC"/>
    <w:rsid w:val="00AC6002"/>
    <w:rsid w:val="00AD28FC"/>
    <w:rsid w:val="00AF456A"/>
    <w:rsid w:val="00AF4D40"/>
    <w:rsid w:val="00AF589B"/>
    <w:rsid w:val="00B039CB"/>
    <w:rsid w:val="00B23B76"/>
    <w:rsid w:val="00B45C30"/>
    <w:rsid w:val="00B57CA7"/>
    <w:rsid w:val="00B75E5F"/>
    <w:rsid w:val="00B93DA3"/>
    <w:rsid w:val="00B94159"/>
    <w:rsid w:val="00B973E6"/>
    <w:rsid w:val="00BF01FE"/>
    <w:rsid w:val="00BF6760"/>
    <w:rsid w:val="00C26A8A"/>
    <w:rsid w:val="00C27D81"/>
    <w:rsid w:val="00C318E6"/>
    <w:rsid w:val="00C32A0D"/>
    <w:rsid w:val="00C5553D"/>
    <w:rsid w:val="00C56B72"/>
    <w:rsid w:val="00C711B9"/>
    <w:rsid w:val="00C8383D"/>
    <w:rsid w:val="00CA0A7F"/>
    <w:rsid w:val="00CB2470"/>
    <w:rsid w:val="00CD1EF7"/>
    <w:rsid w:val="00CF6168"/>
    <w:rsid w:val="00D2762A"/>
    <w:rsid w:val="00D37EE6"/>
    <w:rsid w:val="00D4091E"/>
    <w:rsid w:val="00D45581"/>
    <w:rsid w:val="00D65DF8"/>
    <w:rsid w:val="00DC5C96"/>
    <w:rsid w:val="00DE1485"/>
    <w:rsid w:val="00DE6BFD"/>
    <w:rsid w:val="00DF139F"/>
    <w:rsid w:val="00DF2856"/>
    <w:rsid w:val="00DF4F2D"/>
    <w:rsid w:val="00E0419D"/>
    <w:rsid w:val="00E201E3"/>
    <w:rsid w:val="00E2692F"/>
    <w:rsid w:val="00E273FD"/>
    <w:rsid w:val="00E32FB2"/>
    <w:rsid w:val="00E36F2E"/>
    <w:rsid w:val="00E60021"/>
    <w:rsid w:val="00E73922"/>
    <w:rsid w:val="00E94532"/>
    <w:rsid w:val="00ED4013"/>
    <w:rsid w:val="00EE0487"/>
    <w:rsid w:val="00EE51B1"/>
    <w:rsid w:val="00EF42A3"/>
    <w:rsid w:val="00F00A6A"/>
    <w:rsid w:val="00F07A1C"/>
    <w:rsid w:val="00F2780C"/>
    <w:rsid w:val="00F315D5"/>
    <w:rsid w:val="00F53AFF"/>
    <w:rsid w:val="00F6035E"/>
    <w:rsid w:val="00F62748"/>
    <w:rsid w:val="00F71071"/>
    <w:rsid w:val="00F91F96"/>
    <w:rsid w:val="00F94215"/>
    <w:rsid w:val="00FC3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35"/>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Header">
    <w:name w:val="header"/>
    <w:basedOn w:val="Normal"/>
    <w:link w:val="HeaderChar"/>
    <w:uiPriority w:val="99"/>
    <w:unhideWhenUsed/>
    <w:rsid w:val="00532AF3"/>
    <w:pPr>
      <w:tabs>
        <w:tab w:val="center" w:pos="4819"/>
        <w:tab w:val="right" w:pos="9638"/>
      </w:tabs>
    </w:pPr>
  </w:style>
  <w:style w:type="character" w:customStyle="1" w:styleId="HeaderChar">
    <w:name w:val="Header Char"/>
    <w:basedOn w:val="DefaultParagraphFont"/>
    <w:link w:val="Header"/>
    <w:uiPriority w:val="99"/>
    <w:rsid w:val="00532AF3"/>
    <w:rPr>
      <w:sz w:val="24"/>
      <w:szCs w:val="22"/>
      <w:lang w:val="da-DK" w:eastAsia="en-US"/>
    </w:rPr>
  </w:style>
  <w:style w:type="paragraph" w:styleId="Footer">
    <w:name w:val="footer"/>
    <w:basedOn w:val="Normal"/>
    <w:link w:val="FooterChar"/>
    <w:uiPriority w:val="99"/>
    <w:unhideWhenUsed/>
    <w:rsid w:val="00532AF3"/>
    <w:pPr>
      <w:tabs>
        <w:tab w:val="center" w:pos="4819"/>
        <w:tab w:val="right" w:pos="9638"/>
      </w:tabs>
    </w:pPr>
  </w:style>
  <w:style w:type="character" w:customStyle="1" w:styleId="FooterChar">
    <w:name w:val="Footer Char"/>
    <w:basedOn w:val="DefaultParagraphFont"/>
    <w:link w:val="Footer"/>
    <w:uiPriority w:val="99"/>
    <w:rsid w:val="00532AF3"/>
    <w:rPr>
      <w:sz w:val="24"/>
      <w:szCs w:val="22"/>
      <w:lang w:val="da-DK" w:eastAsia="en-US"/>
    </w:rPr>
  </w:style>
  <w:style w:type="paragraph" w:styleId="ListParagraph">
    <w:name w:val="List Paragraph"/>
    <w:basedOn w:val="Normal"/>
    <w:uiPriority w:val="34"/>
    <w:qFormat/>
    <w:rsid w:val="00E60021"/>
    <w:pPr>
      <w:ind w:left="720"/>
      <w:contextualSpacing/>
    </w:pPr>
  </w:style>
  <w:style w:type="character" w:customStyle="1" w:styleId="TypografiFed">
    <w:name w:val="Typografi Fed"/>
    <w:basedOn w:val="DefaultParagraphFont"/>
    <w:rsid w:val="00E60021"/>
    <w:rPr>
      <w:rFonts w:ascii="Times New Roman" w:hAnsi="Times New Roman" w:cs="Times New Roman" w:hint="default"/>
      <w:b/>
      <w:bCs/>
      <w:sz w:val="24"/>
    </w:rPr>
  </w:style>
  <w:style w:type="character" w:customStyle="1" w:styleId="TypografiKursiv">
    <w:name w:val="Typografi Kursiv"/>
    <w:basedOn w:val="DefaultParagraphFont"/>
    <w:rsid w:val="00E60021"/>
    <w:rPr>
      <w:rFonts w:ascii="Times New Roman" w:hAnsi="Times New Roman" w:cs="Times New Roman" w:hint="default"/>
      <w:i/>
      <w:iCs/>
      <w:sz w:val="24"/>
    </w:rPr>
  </w:style>
  <w:style w:type="table" w:styleId="TableGrid">
    <w:name w:val="Table Grid"/>
    <w:basedOn w:val="Table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le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539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3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383D"/>
    <w:rPr>
      <w:color w:val="0000FF"/>
      <w:u w:val="single"/>
    </w:rPr>
  </w:style>
  <w:style w:type="table" w:customStyle="1" w:styleId="TableGrid1">
    <w:name w:val="Table Grid1"/>
    <w:basedOn w:val="TableNormal"/>
    <w:next w:val="TableGrid"/>
    <w:uiPriority w:val="59"/>
    <w:rsid w:val="00E273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0">
    <w:name w:val="paragraftekst"/>
    <w:basedOn w:val="Normal"/>
    <w:rsid w:val="00E273FD"/>
    <w:pPr>
      <w:spacing w:before="100" w:beforeAutospacing="1" w:after="100" w:afterAutospacing="1"/>
    </w:pPr>
    <w:rPr>
      <w:rFonts w:eastAsia="Times New Roman"/>
      <w:lang w:val="da-DK" w:eastAsia="da-DK"/>
    </w:rPr>
  </w:style>
  <w:style w:type="paragraph" w:customStyle="1" w:styleId="stk0">
    <w:name w:val="stk"/>
    <w:basedOn w:val="Normal"/>
    <w:rsid w:val="00E273FD"/>
    <w:pPr>
      <w:spacing w:before="100" w:beforeAutospacing="1" w:after="100" w:afterAutospacing="1"/>
    </w:pPr>
    <w:rPr>
      <w:rFonts w:eastAsia="Times New Roman"/>
      <w:lang w:val="da-DK" w:eastAsia="da-DK"/>
    </w:rPr>
  </w:style>
  <w:style w:type="character" w:styleId="CommentReference">
    <w:name w:val="annotation reference"/>
    <w:basedOn w:val="DefaultParagraphFont"/>
    <w:uiPriority w:val="99"/>
    <w:semiHidden/>
    <w:unhideWhenUsed/>
    <w:rsid w:val="007E220B"/>
    <w:rPr>
      <w:sz w:val="16"/>
      <w:szCs w:val="16"/>
    </w:rPr>
  </w:style>
  <w:style w:type="paragraph" w:styleId="CommentText">
    <w:name w:val="annotation text"/>
    <w:basedOn w:val="Normal"/>
    <w:link w:val="CommentTextChar"/>
    <w:uiPriority w:val="99"/>
    <w:semiHidden/>
    <w:unhideWhenUsed/>
    <w:rsid w:val="007E220B"/>
    <w:rPr>
      <w:sz w:val="20"/>
      <w:szCs w:val="20"/>
    </w:rPr>
  </w:style>
  <w:style w:type="character" w:customStyle="1" w:styleId="CommentTextChar">
    <w:name w:val="Comment Text Char"/>
    <w:basedOn w:val="DefaultParagraphFont"/>
    <w:link w:val="CommentText"/>
    <w:uiPriority w:val="99"/>
    <w:semiHidden/>
    <w:rsid w:val="007E220B"/>
    <w:rPr>
      <w:sz w:val="20"/>
      <w:szCs w:val="20"/>
    </w:rPr>
  </w:style>
  <w:style w:type="paragraph" w:styleId="CommentSubject">
    <w:name w:val="annotation subject"/>
    <w:basedOn w:val="CommentText"/>
    <w:next w:val="CommentText"/>
    <w:link w:val="CommentSubjectChar"/>
    <w:uiPriority w:val="99"/>
    <w:semiHidden/>
    <w:unhideWhenUsed/>
    <w:rsid w:val="007E220B"/>
    <w:rPr>
      <w:b/>
      <w:bCs/>
    </w:rPr>
  </w:style>
  <w:style w:type="character" w:customStyle="1" w:styleId="CommentSubjectChar">
    <w:name w:val="Comment Subject Char"/>
    <w:basedOn w:val="CommentTextChar"/>
    <w:link w:val="CommentSubject"/>
    <w:uiPriority w:val="99"/>
    <w:semiHidden/>
    <w:rsid w:val="007E220B"/>
    <w:rPr>
      <w:b/>
      <w:bCs/>
      <w:sz w:val="20"/>
      <w:szCs w:val="20"/>
    </w:rPr>
  </w:style>
  <w:style w:type="paragraph" w:styleId="Revision">
    <w:name w:val="Revision"/>
    <w:hidden/>
    <w:uiPriority w:val="99"/>
    <w:semiHidden/>
    <w:rsid w:val="007E220B"/>
  </w:style>
  <w:style w:type="character" w:styleId="UnresolvedMention">
    <w:name w:val="Unresolved Mention"/>
    <w:basedOn w:val="DefaultParagraphFont"/>
    <w:uiPriority w:val="99"/>
    <w:semiHidden/>
    <w:unhideWhenUsed/>
    <w:rsid w:val="005154E2"/>
    <w:rPr>
      <w:color w:val="605E5C"/>
      <w:shd w:val="clear" w:color="auto" w:fill="E1DFDD"/>
    </w:rPr>
  </w:style>
  <w:style w:type="character" w:styleId="FollowedHyperlink">
    <w:name w:val="FollowedHyperlink"/>
    <w:basedOn w:val="DefaultParagraphFont"/>
    <w:uiPriority w:val="99"/>
    <w:semiHidden/>
    <w:unhideWhenUsed/>
    <w:rsid w:val="0065440A"/>
    <w:rPr>
      <w:color w:val="954F72" w:themeColor="followedHyperlink"/>
      <w:u w:val="single"/>
    </w:rPr>
  </w:style>
  <w:style w:type="character" w:styleId="FootnoteReference">
    <w:name w:val="footnote reference"/>
    <w:basedOn w:val="DefaultParagraphFont"/>
    <w:uiPriority w:val="99"/>
    <w:semiHidden/>
    <w:unhideWhenUsed/>
    <w:rsid w:val="00DF2856"/>
  </w:style>
  <w:style w:type="paragraph" w:styleId="FootnoteText">
    <w:name w:val="footnote text"/>
    <w:basedOn w:val="Normal"/>
    <w:link w:val="FootnoteTextChar"/>
    <w:uiPriority w:val="99"/>
    <w:semiHidden/>
    <w:unhideWhenUsed/>
    <w:rsid w:val="004C2B53"/>
    <w:pPr>
      <w:spacing w:after="0"/>
    </w:pPr>
    <w:rPr>
      <w:sz w:val="20"/>
      <w:szCs w:val="20"/>
    </w:rPr>
  </w:style>
  <w:style w:type="character" w:customStyle="1" w:styleId="FootnoteTextChar">
    <w:name w:val="Footnote Text Char"/>
    <w:basedOn w:val="DefaultParagraphFont"/>
    <w:link w:val="FootnoteText"/>
    <w:uiPriority w:val="99"/>
    <w:semiHidden/>
    <w:rsid w:val="004C2B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8346">
      <w:bodyDiv w:val="1"/>
      <w:marLeft w:val="0"/>
      <w:marRight w:val="0"/>
      <w:marTop w:val="0"/>
      <w:marBottom w:val="0"/>
      <w:divBdr>
        <w:top w:val="none" w:sz="0" w:space="0" w:color="auto"/>
        <w:left w:val="none" w:sz="0" w:space="0" w:color="auto"/>
        <w:bottom w:val="none" w:sz="0" w:space="0" w:color="auto"/>
        <w:right w:val="none" w:sz="0" w:space="0" w:color="auto"/>
      </w:divBdr>
    </w:div>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52788949">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1858806020">
      <w:bodyDiv w:val="1"/>
      <w:marLeft w:val="0"/>
      <w:marRight w:val="0"/>
      <w:marTop w:val="0"/>
      <w:marBottom w:val="0"/>
      <w:divBdr>
        <w:top w:val="none" w:sz="0" w:space="0" w:color="auto"/>
        <w:left w:val="none" w:sz="0" w:space="0" w:color="auto"/>
        <w:bottom w:val="none" w:sz="0" w:space="0" w:color="auto"/>
        <w:right w:val="none" w:sz="0" w:space="0" w:color="auto"/>
      </w:divBdr>
    </w:div>
    <w:div w:id="1995642216">
      <w:bodyDiv w:val="1"/>
      <w:marLeft w:val="0"/>
      <w:marRight w:val="0"/>
      <w:marTop w:val="0"/>
      <w:marBottom w:val="0"/>
      <w:divBdr>
        <w:top w:val="none" w:sz="0" w:space="0" w:color="auto"/>
        <w:left w:val="none" w:sz="0" w:space="0" w:color="auto"/>
        <w:bottom w:val="none" w:sz="0" w:space="0" w:color="auto"/>
        <w:right w:val="none" w:sz="0" w:space="0" w:color="auto"/>
      </w:divBdr>
    </w:div>
    <w:div w:id="20526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domstol.dk/fo/faeroeerne/om-retten-paa-faeroeerne/nevndir-og-rad/faeroeernes-ulykkesforsikringsra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A70D0C" w:rsidRDefault="006A0D74">
          <w:pPr>
            <w:pStyle w:val="D58AA6B117DE406C9DB93DEB2C9E35E8"/>
          </w:pPr>
          <w:r>
            <w:rPr>
              <w:rStyle w:val="PlaceholderTex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A70D0C" w:rsidRDefault="006A0D74">
          <w:pPr>
            <w:pStyle w:val="C0102732E438477B8B2537D67378081F"/>
          </w:pPr>
          <w:r>
            <w:rPr>
              <w:rStyle w:val="PlaceholderTex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A70D0C" w:rsidRDefault="006A0D74">
          <w:pPr>
            <w:pStyle w:val="6FAD92F09DE54892ACD4F5C87A2F2A87"/>
          </w:pPr>
          <w:r>
            <w:rPr>
              <w:rStyle w:val="PlaceholderTex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A70D0C" w:rsidRDefault="006A0D74">
          <w:pPr>
            <w:pStyle w:val="4941FBC0F63243C1B107B2934C806055"/>
          </w:pPr>
          <w:r>
            <w:rPr>
              <w:rStyle w:val="PlaceholderTex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A70D0C" w:rsidRDefault="006A0D74">
          <w:pPr>
            <w:pStyle w:val="12928606283A4053A2CBEB6A3A108612"/>
          </w:pPr>
          <w:r>
            <w:rPr>
              <w:rStyle w:val="PlaceholderTex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A70D0C" w:rsidRDefault="006A0D74">
          <w:pPr>
            <w:pStyle w:val="109BE2C0C0424DB79002A175E6287E5D"/>
          </w:pPr>
          <w:r>
            <w:rPr>
              <w:rStyle w:val="PlaceholderTex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A70D0C" w:rsidRDefault="006A0D74">
          <w:pPr>
            <w:pStyle w:val="307A892DACFA481CB60E4E4458791792"/>
          </w:pPr>
          <w:r>
            <w:rPr>
              <w:rStyle w:val="PlaceholderTex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A70D0C" w:rsidRDefault="006A0D74">
          <w:pPr>
            <w:pStyle w:val="2101F787A1374ADD9574E9BE88F23539"/>
          </w:pPr>
          <w:r>
            <w:rPr>
              <w:rStyle w:val="PlaceholderTex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A70D0C" w:rsidRDefault="006A0D74">
          <w:pPr>
            <w:pStyle w:val="38D399C752A24706A31899876E83DF43"/>
          </w:pPr>
          <w:r>
            <w:rPr>
              <w:rStyle w:val="PlaceholderTex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A70D0C" w:rsidRDefault="006A0D74">
          <w:pPr>
            <w:pStyle w:val="BC8A4B236D1B4961AD64B5F5092304F1"/>
          </w:pPr>
          <w:r>
            <w:rPr>
              <w:rStyle w:val="PlaceholderTex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A70D0C" w:rsidRDefault="006A0D74">
          <w:pPr>
            <w:pStyle w:val="970806F86C1B47748154B1740FD68A35"/>
          </w:pPr>
          <w:r>
            <w:rPr>
              <w:rStyle w:val="PlaceholderTex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A70D0C" w:rsidRDefault="006A0D74">
          <w:pPr>
            <w:pStyle w:val="57AA0BE6F90E4A9E98B3B3D9566E7E09"/>
          </w:pPr>
          <w:r>
            <w:rPr>
              <w:rStyle w:val="PlaceholderTex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A70D0C" w:rsidRDefault="006A0D74">
          <w:pPr>
            <w:pStyle w:val="24FF557617BA422584DE17D731ACA87E"/>
          </w:pPr>
          <w:r>
            <w:rPr>
              <w:rStyle w:val="PlaceholderTex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A70D0C" w:rsidRDefault="006A0D74">
          <w:pPr>
            <w:pStyle w:val="0C8A9E75AC584EA0BF1941CFE4A7A44C"/>
          </w:pPr>
          <w:r>
            <w:rPr>
              <w:rStyle w:val="PlaceholderTex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A70D0C" w:rsidRDefault="006A0D74">
          <w:pPr>
            <w:pStyle w:val="701BE18FCBFC4F0C91972D93BA0C9007"/>
          </w:pPr>
          <w:r>
            <w:rPr>
              <w:rStyle w:val="PlaceholderTex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A70D0C" w:rsidRDefault="006A0D74">
          <w:pPr>
            <w:pStyle w:val="4C26038C27144616BAF7A215D2FC9056"/>
          </w:pPr>
          <w:r>
            <w:rPr>
              <w:rStyle w:val="PlaceholderTex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A70D0C" w:rsidRDefault="006A0D74">
          <w:pPr>
            <w:pStyle w:val="A078AE7ED76A4E86AACD0968EB743687"/>
          </w:pPr>
          <w:r>
            <w:rPr>
              <w:rStyle w:val="PlaceholderTex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A70D0C" w:rsidRDefault="006A0D74">
          <w:pPr>
            <w:pStyle w:val="FD4FD9A7A5124515AC2DFEF5BB4F30A9"/>
          </w:pPr>
          <w:r>
            <w:rPr>
              <w:rStyle w:val="PlaceholderTex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A70D0C" w:rsidRDefault="006A0D74">
          <w:pPr>
            <w:pStyle w:val="0FCD526AAC1D43C0A6818B6FC537B9E4"/>
          </w:pPr>
          <w:r>
            <w:rPr>
              <w:rStyle w:val="PlaceholderTex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A70D0C" w:rsidRDefault="006A0D74">
          <w:pPr>
            <w:pStyle w:val="69050EC3BEB047ECB83AA4BCED6DDFB3"/>
          </w:pPr>
          <w:r>
            <w:rPr>
              <w:rStyle w:val="PlaceholderTex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A70D0C" w:rsidRDefault="006A0D74">
          <w:pPr>
            <w:pStyle w:val="FEF38AF8C36D4105B9A676B79D05A980"/>
          </w:pPr>
          <w:r>
            <w:rPr>
              <w:rStyle w:val="PlaceholderTex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A70D0C" w:rsidRDefault="006A0D74">
          <w:pPr>
            <w:pStyle w:val="601063289B094D8CBF4EDEE10F6F6DD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647A3"/>
    <w:rsid w:val="00292109"/>
    <w:rsid w:val="00454A35"/>
    <w:rsid w:val="004D1AA0"/>
    <w:rsid w:val="00674932"/>
    <w:rsid w:val="006A0D74"/>
    <w:rsid w:val="00723FAD"/>
    <w:rsid w:val="00A22FEF"/>
    <w:rsid w:val="00A70D0C"/>
    <w:rsid w:val="00BA0DF3"/>
    <w:rsid w:val="00F64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752D-D008-40E3-82B4-C633BF14271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9</ap:Pages>
  <ap:Words>2394</ap:Words>
  <ap:Characters>14604</ap:Characters>
  <ap:Application>Microsoft Office Word</ap:Application>
  <ap:DocSecurity>0</ap:DocSecurity>
  <ap:Lines>121</ap:Lines>
  <ap:Paragraphs>33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Uppskot til broytingarløgtingslóg</vt:lpstr>
      <vt:lpstr>Uppskot til broytingarløgtingslóg</vt:lpstr>
    </vt:vector>
  </ap:TitlesOfParts>
  <ap:Company>Lógartænastan</ap:Company>
  <ap:LinksUpToDate>false</ap:LinksUpToDate>
  <ap:CharactersWithSpaces>16965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Jóannes N. Dalsgaard</cp:lastModifiedBy>
  <cp:revision>3</cp:revision>
  <cp:lastPrinted>2023-04-14T11:16:00Z</cp:lastPrinted>
  <dcterms:created xsi:type="dcterms:W3CDTF">2023-04-17T11:44:00Z</dcterms:created>
  <dcterms:modified xsi:type="dcterms:W3CDTF">2023-04-17T13:54:00Z</dcterms:modified>
</cp:coreProperties>
</file>