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5326" w14:textId="3C5142AE" w:rsidR="00E273FD" w:rsidRPr="003B1A5C" w:rsidRDefault="00E273FD" w:rsidP="00183C82">
      <w:pPr>
        <w:spacing w:after="0" w:line="276" w:lineRule="auto"/>
        <w:jc w:val="right"/>
        <w:rPr>
          <w:b/>
          <w:bCs/>
          <w:noProof/>
          <w:lang w:eastAsia="en-US"/>
        </w:rPr>
      </w:pPr>
      <w:r w:rsidRPr="003B1A5C">
        <w:rPr>
          <w:b/>
          <w:bCs/>
          <w:noProof/>
          <w:lang w:eastAsia="en-US"/>
        </w:rPr>
        <w:t>Fylgiskjal 1</w:t>
      </w:r>
    </w:p>
    <w:p w14:paraId="4E169E0A" w14:textId="77777777" w:rsidR="00E273FD" w:rsidRPr="003B1A5C" w:rsidRDefault="00E273FD" w:rsidP="00183C82">
      <w:pPr>
        <w:spacing w:after="0" w:line="276" w:lineRule="auto"/>
        <w:jc w:val="right"/>
        <w:rPr>
          <w:b/>
          <w:bCs/>
          <w:noProof/>
          <w:lang w:eastAsia="en-US"/>
        </w:rPr>
      </w:pPr>
    </w:p>
    <w:p w14:paraId="7401E17D" w14:textId="77777777" w:rsidR="00E273FD" w:rsidRPr="003B1A5C" w:rsidRDefault="00E273FD" w:rsidP="00183C82">
      <w:pPr>
        <w:spacing w:after="0" w:line="276" w:lineRule="auto"/>
        <w:jc w:val="center"/>
        <w:rPr>
          <w:b/>
          <w:noProof/>
          <w:lang w:eastAsia="en-US"/>
        </w:rPr>
      </w:pPr>
      <w:r w:rsidRPr="003B1A5C">
        <w:rPr>
          <w:b/>
          <w:noProof/>
          <w:lang w:eastAsia="en-US"/>
        </w:rPr>
        <w:t>Javntekstur</w:t>
      </w:r>
    </w:p>
    <w:p w14:paraId="07347911" w14:textId="77777777" w:rsidR="00E273FD" w:rsidRPr="003B1A5C" w:rsidRDefault="00E273FD" w:rsidP="00183C82">
      <w:pPr>
        <w:spacing w:after="0" w:line="276" w:lineRule="auto"/>
        <w:jc w:val="center"/>
        <w:rPr>
          <w:b/>
          <w:noProof/>
          <w:lang w:eastAsia="en-US"/>
        </w:rPr>
      </w:pPr>
    </w:p>
    <w:p w14:paraId="03153003" w14:textId="77777777" w:rsidR="00E273FD" w:rsidRPr="003B1A5C" w:rsidRDefault="00E273FD" w:rsidP="00183C82">
      <w:pPr>
        <w:spacing w:after="0" w:line="276" w:lineRule="auto"/>
        <w:jc w:val="center"/>
        <w:rPr>
          <w:noProof/>
          <w:lang w:eastAsia="en-US"/>
        </w:rPr>
      </w:pPr>
      <w:r w:rsidRPr="003B1A5C">
        <w:rPr>
          <w:noProof/>
          <w:lang w:eastAsia="en-US"/>
        </w:rPr>
        <w:t>Galdandi orðingar í løgtingslógini samanbornar við broyttu orðingarnar í løgtingslógaruppskotinum.</w:t>
      </w:r>
    </w:p>
    <w:p w14:paraId="25B1CB75" w14:textId="040A45DF" w:rsidR="00E273FD" w:rsidRPr="003B1A5C" w:rsidRDefault="00E273FD" w:rsidP="00183C82">
      <w:pPr>
        <w:spacing w:after="0" w:line="276" w:lineRule="auto"/>
        <w:jc w:val="center"/>
        <w:rPr>
          <w:noProof/>
          <w:lang w:eastAsia="en-US"/>
        </w:rPr>
      </w:pPr>
    </w:p>
    <w:p w14:paraId="142AFC1D" w14:textId="77777777" w:rsidR="00AB4E3E" w:rsidRPr="003B1A5C" w:rsidRDefault="00AB4E3E" w:rsidP="00183C82">
      <w:pPr>
        <w:spacing w:after="0" w:line="276" w:lineRule="auto"/>
        <w:jc w:val="center"/>
        <w:rPr>
          <w:noProof/>
          <w:lang w:eastAsia="en-US"/>
        </w:rPr>
      </w:pPr>
    </w:p>
    <w:tbl>
      <w:tblPr>
        <w:tblStyle w:val="TableGrid1"/>
        <w:tblW w:w="9726" w:type="dxa"/>
        <w:tblLook w:val="04A0" w:firstRow="1" w:lastRow="0" w:firstColumn="1" w:lastColumn="0" w:noHBand="0" w:noVBand="1"/>
      </w:tblPr>
      <w:tblGrid>
        <w:gridCol w:w="4864"/>
        <w:gridCol w:w="4862"/>
      </w:tblGrid>
      <w:tr w:rsidR="00E273FD" w:rsidRPr="003B1A5C" w14:paraId="7D836D27" w14:textId="77777777" w:rsidTr="001E4F35">
        <w:tc>
          <w:tcPr>
            <w:tcW w:w="4864" w:type="dxa"/>
          </w:tcPr>
          <w:p w14:paraId="0C6FF93C" w14:textId="77777777" w:rsidR="00E273FD" w:rsidRPr="003B1A5C" w:rsidRDefault="00E273FD" w:rsidP="00183C82">
            <w:pPr>
              <w:spacing w:after="0" w:line="276" w:lineRule="auto"/>
              <w:rPr>
                <w:b/>
                <w:noProof/>
              </w:rPr>
            </w:pPr>
            <w:r w:rsidRPr="003B1A5C">
              <w:rPr>
                <w:b/>
                <w:noProof/>
              </w:rPr>
              <w:t>Galdandi orðingar</w:t>
            </w:r>
          </w:p>
          <w:p w14:paraId="30D71FD8" w14:textId="60A09B3A" w:rsidR="00E273FD" w:rsidRPr="003B1A5C" w:rsidRDefault="00E273FD" w:rsidP="00183C82">
            <w:pP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4862" w:type="dxa"/>
          </w:tcPr>
          <w:p w14:paraId="47ED813A" w14:textId="77777777" w:rsidR="00E273FD" w:rsidRPr="003B1A5C" w:rsidRDefault="00E273FD" w:rsidP="00183C82">
            <w:pPr>
              <w:spacing w:after="0" w:line="276" w:lineRule="auto"/>
              <w:rPr>
                <w:b/>
                <w:noProof/>
              </w:rPr>
            </w:pPr>
            <w:r w:rsidRPr="003B1A5C">
              <w:rPr>
                <w:b/>
                <w:noProof/>
              </w:rPr>
              <w:t>Løgtingslógaruppskotið</w:t>
            </w:r>
          </w:p>
        </w:tc>
      </w:tr>
      <w:tr w:rsidR="00B4766D" w:rsidRPr="003B1A5C" w14:paraId="286A99BA" w14:textId="77777777" w:rsidTr="001E4F35">
        <w:tc>
          <w:tcPr>
            <w:tcW w:w="4864" w:type="dxa"/>
          </w:tcPr>
          <w:p w14:paraId="70F835ED" w14:textId="77777777" w:rsidR="00B4766D" w:rsidRPr="003B1A5C" w:rsidRDefault="00B4766D" w:rsidP="00183C82">
            <w:pP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4862" w:type="dxa"/>
          </w:tcPr>
          <w:p w14:paraId="2B192711" w14:textId="77777777" w:rsidR="00B4766D" w:rsidRPr="003B1A5C" w:rsidRDefault="00B4766D" w:rsidP="00183C82">
            <w:pPr>
              <w:spacing w:after="0" w:line="276" w:lineRule="auto"/>
              <w:jc w:val="center"/>
              <w:rPr>
                <w:b/>
                <w:noProof/>
              </w:rPr>
            </w:pPr>
            <w:r w:rsidRPr="003B1A5C">
              <w:rPr>
                <w:b/>
                <w:noProof/>
              </w:rPr>
              <w:t>§ 1</w:t>
            </w:r>
          </w:p>
          <w:p w14:paraId="7EFC9103" w14:textId="77777777" w:rsidR="00B4766D" w:rsidRPr="003B1A5C" w:rsidRDefault="00B4766D" w:rsidP="00183C82">
            <w:pPr>
              <w:spacing w:after="0" w:line="276" w:lineRule="auto"/>
              <w:rPr>
                <w:noProof/>
              </w:rPr>
            </w:pPr>
          </w:p>
          <w:p w14:paraId="34A805F5" w14:textId="77777777" w:rsidR="00E33262" w:rsidRPr="000A129D" w:rsidRDefault="00E33262" w:rsidP="00E33262">
            <w:pPr>
              <w:spacing w:after="0" w:line="276" w:lineRule="auto"/>
            </w:pPr>
            <w:r w:rsidRPr="000A129D">
              <w:t xml:space="preserve">Í løgtingslóg nr. </w:t>
            </w:r>
            <w:r w:rsidRPr="0048034F">
              <w:t xml:space="preserve">62 frá 31. mai 2010 um Húsalánsgrunn, sum broytt við løgtingslóg </w:t>
            </w:r>
            <w:r>
              <w:t xml:space="preserve">nr. 140 frá 6. oktober 2011, løgtingslóg </w:t>
            </w:r>
            <w:proofErr w:type="spellStart"/>
            <w:r>
              <w:t>nr</w:t>
            </w:r>
            <w:proofErr w:type="spellEnd"/>
            <w:r>
              <w:t xml:space="preserve">- 125 frá 7. desember 2012, løgtingslóg nr. 81 frá 29. mai 2017, </w:t>
            </w:r>
            <w:proofErr w:type="spellStart"/>
            <w:r>
              <w:t>løgtinglóg</w:t>
            </w:r>
            <w:proofErr w:type="spellEnd"/>
            <w:r>
              <w:t xml:space="preserve"> nr. 34 frá 26. mars 2021 og løgtingslóg </w:t>
            </w:r>
            <w:r w:rsidRPr="0048034F">
              <w:t>nr. 64 frá 22. mai 2023</w:t>
            </w:r>
            <w:r w:rsidRPr="000A129D">
              <w:t>, verða gjørdar hesar broytingar:</w:t>
            </w:r>
          </w:p>
          <w:p w14:paraId="7D39AB39" w14:textId="77777777" w:rsidR="00B4766D" w:rsidRPr="003B1A5C" w:rsidRDefault="00B4766D" w:rsidP="00183C82">
            <w:pPr>
              <w:spacing w:after="0" w:line="276" w:lineRule="auto"/>
              <w:rPr>
                <w:b/>
                <w:noProof/>
              </w:rPr>
            </w:pPr>
          </w:p>
        </w:tc>
      </w:tr>
      <w:tr w:rsidR="00B4766D" w:rsidRPr="003B1A5C" w14:paraId="5529A072" w14:textId="77777777" w:rsidTr="001E4F35">
        <w:tc>
          <w:tcPr>
            <w:tcW w:w="4864" w:type="dxa"/>
          </w:tcPr>
          <w:p w14:paraId="232FE916" w14:textId="77777777" w:rsidR="001419D8" w:rsidRDefault="00C27A80" w:rsidP="00BA5569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§ 5 b.</w:t>
            </w:r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Húsalánsgrunnurin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kann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einsamallur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ella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saman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við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kommunum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feløgum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og </w:t>
            </w:r>
            <w:proofErr w:type="spellStart"/>
            <w:r>
              <w:rPr>
                <w:color w:val="000000"/>
                <w:shd w:val="clear" w:color="auto" w:fill="FFFFFF"/>
              </w:rPr>
              <w:t>stovnum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útvega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reka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og </w:t>
            </w:r>
            <w:proofErr w:type="spellStart"/>
            <w:r>
              <w:rPr>
                <w:color w:val="000000"/>
                <w:shd w:val="clear" w:color="auto" w:fill="FFFFFF"/>
              </w:rPr>
              <w:t>leiga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út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íbúðir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íbúðahús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og </w:t>
            </w:r>
            <w:proofErr w:type="spellStart"/>
            <w:r>
              <w:rPr>
                <w:color w:val="000000"/>
                <w:shd w:val="clear" w:color="auto" w:fill="FFFFFF"/>
              </w:rPr>
              <w:t>lestrarbýlir</w:t>
            </w:r>
            <w:proofErr w:type="spellEnd"/>
            <w:r>
              <w:rPr>
                <w:color w:val="000000"/>
                <w:shd w:val="clear" w:color="auto" w:fill="FFFFFF"/>
              </w:rPr>
              <w:t>. 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Húsalánsgrunnurin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kann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á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sama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hátt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útvega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lutaíbúðir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til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lutaíbúðafeløg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og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reka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lutaíbúðir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  <w:p w14:paraId="4ADB3352" w14:textId="7EFB38E5" w:rsidR="00C27A80" w:rsidRPr="00C27A80" w:rsidRDefault="00C27A80" w:rsidP="00BA5569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bCs/>
                <w:i/>
                <w:iCs/>
                <w:noProof/>
                <w:lang w:val="fo-FO"/>
              </w:rPr>
            </w:pPr>
            <w:r>
              <w:rPr>
                <w:bCs/>
                <w:i/>
                <w:iCs/>
                <w:noProof/>
                <w:lang w:val="fo-FO"/>
              </w:rPr>
              <w:t>Stk. 2. ...</w:t>
            </w:r>
          </w:p>
        </w:tc>
        <w:tc>
          <w:tcPr>
            <w:tcW w:w="4862" w:type="dxa"/>
          </w:tcPr>
          <w:p w14:paraId="1E04F1C4" w14:textId="77777777" w:rsidR="00BA5569" w:rsidRPr="00C27A80" w:rsidRDefault="00E33262" w:rsidP="00C27A80">
            <w:pPr>
              <w:pStyle w:val="paragraftekst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noProof/>
              </w:rPr>
            </w:pPr>
            <w:r>
              <w:t xml:space="preserve">Í § 5 b stk. 1 </w:t>
            </w:r>
            <w:proofErr w:type="spellStart"/>
            <w:r>
              <w:t>verður</w:t>
            </w:r>
            <w:proofErr w:type="spellEnd"/>
            <w:r>
              <w:t xml:space="preserve"> í </w:t>
            </w:r>
            <w:proofErr w:type="spellStart"/>
            <w:r>
              <w:t>staðin</w:t>
            </w:r>
            <w:proofErr w:type="spellEnd"/>
            <w:r>
              <w:t xml:space="preserve"> </w:t>
            </w:r>
            <w:proofErr w:type="spellStart"/>
            <w:r>
              <w:t>fyri</w:t>
            </w:r>
            <w:proofErr w:type="spellEnd"/>
            <w:r>
              <w:t xml:space="preserve"> “</w:t>
            </w:r>
            <w:proofErr w:type="spellStart"/>
            <w:r>
              <w:t>Húsalánsgrunnurin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einsamallur</w:t>
            </w:r>
            <w:proofErr w:type="spellEnd"/>
            <w:r>
              <w:t xml:space="preserve"> </w:t>
            </w:r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kommunum</w:t>
            </w:r>
            <w:proofErr w:type="spellEnd"/>
            <w:r>
              <w:t xml:space="preserve">, </w:t>
            </w:r>
            <w:proofErr w:type="spellStart"/>
            <w:r>
              <w:t>feløgum</w:t>
            </w:r>
            <w:proofErr w:type="spellEnd"/>
            <w:r>
              <w:t xml:space="preserve"> og </w:t>
            </w:r>
            <w:proofErr w:type="spellStart"/>
            <w:r>
              <w:t>stovnum</w:t>
            </w:r>
            <w:proofErr w:type="spellEnd"/>
            <w:r>
              <w:t xml:space="preserve">” </w:t>
            </w:r>
            <w:proofErr w:type="spellStart"/>
            <w:r>
              <w:t>sett</w:t>
            </w:r>
            <w:proofErr w:type="spellEnd"/>
            <w:r>
              <w:t>: “</w:t>
            </w:r>
            <w:proofErr w:type="spellStart"/>
            <w:r>
              <w:t>Húsalánsgrunnurin</w:t>
            </w:r>
            <w:proofErr w:type="spellEnd"/>
            <w:r>
              <w:t xml:space="preserve"> og </w:t>
            </w:r>
            <w:proofErr w:type="spellStart"/>
            <w:r>
              <w:t>partafeløg</w:t>
            </w:r>
            <w:proofErr w:type="spellEnd"/>
            <w:r>
              <w:t xml:space="preserve"> </w:t>
            </w:r>
            <w:proofErr w:type="spellStart"/>
            <w:r>
              <w:t>sambært</w:t>
            </w:r>
            <w:proofErr w:type="spellEnd"/>
            <w:r>
              <w:t xml:space="preserve"> § 8 d, stk. 1 </w:t>
            </w:r>
            <w:proofErr w:type="spellStart"/>
            <w:r>
              <w:t>kunnu</w:t>
            </w:r>
            <w:proofErr w:type="spellEnd"/>
            <w:r>
              <w:t xml:space="preserve"> </w:t>
            </w:r>
            <w:proofErr w:type="spellStart"/>
            <w:r>
              <w:t>einsamøll</w:t>
            </w:r>
            <w:proofErr w:type="spellEnd"/>
            <w:r>
              <w:t xml:space="preserve"> </w:t>
            </w:r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feløgum</w:t>
            </w:r>
            <w:proofErr w:type="spellEnd"/>
            <w:r>
              <w:t xml:space="preserve"> og </w:t>
            </w:r>
            <w:proofErr w:type="spellStart"/>
            <w:r>
              <w:t>stovnum</w:t>
            </w:r>
            <w:proofErr w:type="spellEnd"/>
            <w:r>
              <w:t>”.</w:t>
            </w:r>
          </w:p>
          <w:p w14:paraId="564CA382" w14:textId="71D89CD1" w:rsidR="00C27A80" w:rsidRPr="00BA5569" w:rsidRDefault="00C27A80" w:rsidP="00C27A80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b/>
                <w:noProof/>
              </w:rPr>
            </w:pPr>
          </w:p>
        </w:tc>
      </w:tr>
      <w:tr w:rsidR="00202881" w:rsidRPr="003B1A5C" w14:paraId="431DE729" w14:textId="77777777" w:rsidTr="001E4F35">
        <w:tc>
          <w:tcPr>
            <w:tcW w:w="4864" w:type="dxa"/>
          </w:tcPr>
          <w:p w14:paraId="6C7B469C" w14:textId="6FBFD9B9" w:rsidR="00F101C9" w:rsidRPr="003B1A5C" w:rsidRDefault="00F101C9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6F20B980" w14:textId="77777777" w:rsidR="00E33262" w:rsidRDefault="00E33262" w:rsidP="00E33262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 xml:space="preserve">Eftir § 5 c verður sum nýggj § 5 d sett: </w:t>
            </w:r>
          </w:p>
          <w:p w14:paraId="351F528F" w14:textId="3C46470E" w:rsidR="00E33262" w:rsidRDefault="00E33262" w:rsidP="00E33262">
            <w:pPr>
              <w:pStyle w:val="ListParagraph"/>
              <w:spacing w:after="0" w:line="276" w:lineRule="auto"/>
              <w:ind w:left="360"/>
            </w:pPr>
            <w:r>
              <w:t>“</w:t>
            </w:r>
            <w:r w:rsidRPr="00A20E35">
              <w:rPr>
                <w:b/>
                <w:bCs/>
              </w:rPr>
              <w:t>§ 5 d.</w:t>
            </w:r>
            <w:r>
              <w:t xml:space="preserve"> Kommuna kann, saman við Húsalánsgrunninum, stovna almannagagnligt </w:t>
            </w:r>
            <w:proofErr w:type="spellStart"/>
            <w:r>
              <w:t>bústaðafelag</w:t>
            </w:r>
            <w:proofErr w:type="spellEnd"/>
            <w:r>
              <w:t xml:space="preserve">, ið hevur sum endamál at </w:t>
            </w:r>
            <w:bookmarkStart w:id="0" w:name="_Hlk147413150"/>
            <w:r>
              <w:t>útvega, eiga og umsita leiguíbúðir í viðkomandi kommunu.</w:t>
            </w:r>
            <w:bookmarkEnd w:id="0"/>
          </w:p>
          <w:p w14:paraId="0DAF1A7C" w14:textId="77777777" w:rsidR="00E33262" w:rsidRDefault="00E33262" w:rsidP="00E33262">
            <w:pPr>
              <w:pStyle w:val="ListParagraph"/>
              <w:spacing w:after="0" w:line="276" w:lineRule="auto"/>
              <w:ind w:left="360"/>
            </w:pPr>
            <w:r w:rsidRPr="00A20E35">
              <w:rPr>
                <w:i/>
                <w:iCs/>
              </w:rPr>
              <w:t>Stk. 2.</w:t>
            </w:r>
            <w:r>
              <w:t xml:space="preserve"> Til fígging av </w:t>
            </w:r>
            <w:proofErr w:type="spellStart"/>
            <w:r>
              <w:t>bústaðaverkætlan</w:t>
            </w:r>
            <w:proofErr w:type="spellEnd"/>
            <w:r>
              <w:t xml:space="preserve">, sum felag sambært stk. 1 stendur fyri, letur kommunan felagnum innskot svarandi til ikki minni enn 10% og ikki meira enn 20% av </w:t>
            </w:r>
            <w:proofErr w:type="spellStart"/>
            <w:r>
              <w:t>útveganarkostnaðinum</w:t>
            </w:r>
            <w:proofErr w:type="spellEnd"/>
            <w:r>
              <w:t xml:space="preserve">. Innskot kann latast sum peningur ella sum </w:t>
            </w:r>
            <w:proofErr w:type="spellStart"/>
            <w:r>
              <w:t>realkapitalur</w:t>
            </w:r>
            <w:proofErr w:type="spellEnd"/>
            <w:r>
              <w:t xml:space="preserve">, t.d. byggilendi og byggibúning. Restin av fíggingini verður fingin til vega við innskoti frá Húsalánsgrunninum, sum ikki má vera </w:t>
            </w:r>
            <w:r>
              <w:lastRenderedPageBreak/>
              <w:t>minni enn innskotið frá kommununi, og við láni, sum hevur trygd í ognum felagsins.</w:t>
            </w:r>
          </w:p>
          <w:p w14:paraId="1197B50E" w14:textId="77777777" w:rsidR="00E33262" w:rsidRDefault="00E33262" w:rsidP="00E33262">
            <w:pPr>
              <w:pStyle w:val="ListParagraph"/>
              <w:spacing w:after="0" w:line="276" w:lineRule="auto"/>
              <w:ind w:left="360"/>
            </w:pPr>
            <w:r>
              <w:rPr>
                <w:i/>
                <w:iCs/>
              </w:rPr>
              <w:t>Stk. 3.</w:t>
            </w:r>
            <w:r>
              <w:t xml:space="preserve"> Almannagagnlig bústaðafeløg sambært stk. 1 skulu hava viðtøkur, ið skulu góðkennast av </w:t>
            </w:r>
            <w:proofErr w:type="spellStart"/>
            <w:r>
              <w:t>landsstýrisfólkinum</w:t>
            </w:r>
            <w:proofErr w:type="spellEnd"/>
            <w:r>
              <w:t xml:space="preserve">. Í viðtøkunum skulu í minsta lagi verða ásetingar um: </w:t>
            </w:r>
          </w:p>
          <w:p w14:paraId="0409A1CC" w14:textId="77777777" w:rsidR="00E33262" w:rsidRDefault="00E33262" w:rsidP="00E33262">
            <w:pPr>
              <w:pStyle w:val="ListParagraph"/>
              <w:numPr>
                <w:ilvl w:val="0"/>
                <w:numId w:val="10"/>
              </w:numPr>
              <w:spacing w:after="0" w:line="276" w:lineRule="auto"/>
            </w:pPr>
            <w:proofErr w:type="spellStart"/>
            <w:r>
              <w:t>roknskaparhald</w:t>
            </w:r>
            <w:proofErr w:type="spellEnd"/>
            <w:r>
              <w:t xml:space="preserve">, </w:t>
            </w:r>
          </w:p>
          <w:p w14:paraId="0090BC12" w14:textId="77777777" w:rsidR="00E33262" w:rsidRDefault="00E33262" w:rsidP="00E33262">
            <w:pPr>
              <w:pStyle w:val="ListParagraph"/>
              <w:numPr>
                <w:ilvl w:val="0"/>
                <w:numId w:val="10"/>
              </w:numPr>
              <w:spacing w:after="0" w:line="276" w:lineRule="auto"/>
            </w:pPr>
            <w:r>
              <w:t xml:space="preserve">aðalfund, </w:t>
            </w:r>
          </w:p>
          <w:p w14:paraId="4B8BB16A" w14:textId="77777777" w:rsidR="00E33262" w:rsidRDefault="00E33262" w:rsidP="00E33262">
            <w:pPr>
              <w:pStyle w:val="ListParagraph"/>
              <w:numPr>
                <w:ilvl w:val="0"/>
                <w:numId w:val="10"/>
              </w:numPr>
              <w:spacing w:after="0" w:line="276" w:lineRule="auto"/>
            </w:pPr>
            <w:r>
              <w:t xml:space="preserve">grannskoðan, </w:t>
            </w:r>
          </w:p>
          <w:p w14:paraId="49221629" w14:textId="77777777" w:rsidR="00E33262" w:rsidRDefault="00E33262" w:rsidP="00E33262">
            <w:pPr>
              <w:pStyle w:val="ListParagraph"/>
              <w:numPr>
                <w:ilvl w:val="0"/>
                <w:numId w:val="10"/>
              </w:numPr>
              <w:spacing w:after="0" w:line="276" w:lineRule="auto"/>
            </w:pPr>
            <w:r>
              <w:t>nevnd ella stýrið,</w:t>
            </w:r>
          </w:p>
          <w:p w14:paraId="3BB9025B" w14:textId="77777777" w:rsidR="00E33262" w:rsidRDefault="00E33262" w:rsidP="00E33262">
            <w:pPr>
              <w:pStyle w:val="ListParagraph"/>
              <w:numPr>
                <w:ilvl w:val="0"/>
                <w:numId w:val="10"/>
              </w:numPr>
              <w:spacing w:after="0" w:line="276" w:lineRule="auto"/>
            </w:pPr>
            <w:r>
              <w:t>útlutan av leiguíbúðum,</w:t>
            </w:r>
          </w:p>
          <w:p w14:paraId="439C2045" w14:textId="77777777" w:rsidR="00E33262" w:rsidRDefault="00E33262" w:rsidP="00E33262">
            <w:pPr>
              <w:pStyle w:val="ListParagraph"/>
              <w:numPr>
                <w:ilvl w:val="0"/>
                <w:numId w:val="10"/>
              </w:numPr>
              <w:spacing w:after="0" w:line="276" w:lineRule="auto"/>
            </w:pPr>
            <w:r>
              <w:t>ásetan av húsaleigu.</w:t>
            </w:r>
          </w:p>
          <w:p w14:paraId="578ECE48" w14:textId="77777777" w:rsidR="00E33262" w:rsidRDefault="00E33262" w:rsidP="00E33262">
            <w:pPr>
              <w:spacing w:after="0" w:line="276" w:lineRule="auto"/>
              <w:ind w:left="360"/>
            </w:pPr>
            <w:r w:rsidRPr="00A20E35">
              <w:rPr>
                <w:i/>
                <w:iCs/>
              </w:rPr>
              <w:t>Stk. 4.</w:t>
            </w:r>
            <w:r>
              <w:t xml:space="preserve"> Húsalánsgrunnurin tekur avgerð um luttøku í verkætlanum sambært stk. 1 við støði í eini meting av fíggjarliga </w:t>
            </w:r>
            <w:proofErr w:type="spellStart"/>
            <w:r>
              <w:t>haldførinum</w:t>
            </w:r>
            <w:proofErr w:type="spellEnd"/>
            <w:r>
              <w:t xml:space="preserve"> í verkætlanini </w:t>
            </w:r>
            <w:proofErr w:type="spellStart"/>
            <w:r>
              <w:t>herundir</w:t>
            </w:r>
            <w:proofErr w:type="spellEnd"/>
            <w:r>
              <w:t xml:space="preserve"> </w:t>
            </w:r>
            <w:proofErr w:type="spellStart"/>
            <w:r>
              <w:t>ítøkliga</w:t>
            </w:r>
            <w:proofErr w:type="spellEnd"/>
            <w:r>
              <w:t xml:space="preserve"> eftirspurninginum eftir leigubústøðum í viðkomandi kommunu.</w:t>
            </w:r>
          </w:p>
          <w:p w14:paraId="1C8C8A7B" w14:textId="77777777" w:rsidR="00E33262" w:rsidRDefault="00E33262" w:rsidP="00E33262">
            <w:pPr>
              <w:spacing w:after="0" w:line="276" w:lineRule="auto"/>
              <w:ind w:left="360"/>
            </w:pPr>
            <w:r>
              <w:rPr>
                <w:i/>
                <w:iCs/>
              </w:rPr>
              <w:t xml:space="preserve">Stk. 5. </w:t>
            </w:r>
            <w:proofErr w:type="spellStart"/>
            <w:r>
              <w:t>Landsstýrisfólkið</w:t>
            </w:r>
            <w:proofErr w:type="spellEnd"/>
            <w:r>
              <w:t xml:space="preserve"> kann áseta nærri reglur fyri virksemi hjá almannagagnligum </w:t>
            </w:r>
            <w:proofErr w:type="spellStart"/>
            <w:r>
              <w:t>bústaðafeløgum</w:t>
            </w:r>
            <w:proofErr w:type="spellEnd"/>
            <w:r>
              <w:t xml:space="preserve"> sambært stk. 1, </w:t>
            </w:r>
            <w:proofErr w:type="spellStart"/>
            <w:r>
              <w:t>herundir</w:t>
            </w:r>
            <w:proofErr w:type="spellEnd"/>
            <w:r>
              <w:t xml:space="preserve"> bindandi leiðreglur um innihald og uppsetan av viðtøkum sambært stk. 3.</w:t>
            </w:r>
          </w:p>
          <w:p w14:paraId="10601C93" w14:textId="77777777" w:rsidR="00BA5569" w:rsidRDefault="00E33262" w:rsidP="00C27A80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</w:pPr>
            <w:r>
              <w:rPr>
                <w:i/>
                <w:iCs/>
              </w:rPr>
              <w:t>Stk. 6.</w:t>
            </w:r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almannagagnligt</w:t>
            </w:r>
            <w:proofErr w:type="spellEnd"/>
            <w:r>
              <w:t xml:space="preserve"> </w:t>
            </w:r>
            <w:proofErr w:type="spellStart"/>
            <w:r>
              <w:t>bústaðafelag</w:t>
            </w:r>
            <w:proofErr w:type="spellEnd"/>
            <w:r>
              <w:t xml:space="preserve"> </w:t>
            </w:r>
            <w:proofErr w:type="spellStart"/>
            <w:r>
              <w:t>avtikið</w:t>
            </w:r>
            <w:proofErr w:type="spellEnd"/>
            <w:r>
              <w:t xml:space="preserve">, </w:t>
            </w:r>
            <w:proofErr w:type="spellStart"/>
            <w:r>
              <w:t>verða</w:t>
            </w:r>
            <w:proofErr w:type="spellEnd"/>
            <w:r>
              <w:t xml:space="preserve"> </w:t>
            </w:r>
            <w:proofErr w:type="spellStart"/>
            <w:r>
              <w:t>ognir</w:t>
            </w:r>
            <w:proofErr w:type="spellEnd"/>
            <w:r>
              <w:t xml:space="preserve"> </w:t>
            </w:r>
            <w:proofErr w:type="spellStart"/>
            <w:r>
              <w:t>felagsins</w:t>
            </w:r>
            <w:proofErr w:type="spellEnd"/>
            <w:r>
              <w:t xml:space="preserve"> </w:t>
            </w:r>
            <w:proofErr w:type="spellStart"/>
            <w:r>
              <w:t>býttar</w:t>
            </w:r>
            <w:proofErr w:type="spellEnd"/>
            <w:r>
              <w:t xml:space="preserve"> </w:t>
            </w:r>
            <w:proofErr w:type="spellStart"/>
            <w:r>
              <w:t>millum</w:t>
            </w:r>
            <w:proofErr w:type="spellEnd"/>
            <w:r>
              <w:t xml:space="preserve"> </w:t>
            </w:r>
            <w:proofErr w:type="spellStart"/>
            <w:r>
              <w:t>Húsalánsgrunnin</w:t>
            </w:r>
            <w:proofErr w:type="spellEnd"/>
            <w:r>
              <w:t xml:space="preserve"> og </w:t>
            </w:r>
            <w:proofErr w:type="spellStart"/>
            <w:r>
              <w:t>kommununa</w:t>
            </w:r>
            <w:proofErr w:type="spellEnd"/>
            <w:r>
              <w:t xml:space="preserve"> í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lutfalli</w:t>
            </w:r>
            <w:proofErr w:type="spellEnd"/>
            <w:r>
              <w:t xml:space="preserve">, sum </w:t>
            </w:r>
            <w:proofErr w:type="spellStart"/>
            <w:r>
              <w:t>hesi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skotið</w:t>
            </w:r>
            <w:proofErr w:type="spellEnd"/>
            <w:r>
              <w:t xml:space="preserve"> kapital </w:t>
            </w:r>
            <w:proofErr w:type="spellStart"/>
            <w:r>
              <w:t>inn</w:t>
            </w:r>
            <w:proofErr w:type="spellEnd"/>
            <w:r>
              <w:t xml:space="preserve"> í </w:t>
            </w:r>
            <w:proofErr w:type="spellStart"/>
            <w:r>
              <w:t>felagið</w:t>
            </w:r>
            <w:proofErr w:type="spellEnd"/>
            <w:r>
              <w:t>.”</w:t>
            </w:r>
          </w:p>
          <w:p w14:paraId="5050B433" w14:textId="43A0F191" w:rsidR="00C27A80" w:rsidRPr="00C27A80" w:rsidRDefault="00C27A80" w:rsidP="00C27A80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  <w:lang w:val="fo-FO"/>
              </w:rPr>
            </w:pPr>
          </w:p>
        </w:tc>
      </w:tr>
      <w:tr w:rsidR="00BA5569" w:rsidRPr="003B1A5C" w14:paraId="2969079E" w14:textId="77777777" w:rsidTr="001E4F35">
        <w:tc>
          <w:tcPr>
            <w:tcW w:w="4864" w:type="dxa"/>
          </w:tcPr>
          <w:p w14:paraId="516204BB" w14:textId="77777777" w:rsidR="00BA5569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color w:val="000000"/>
                <w:shd w:val="clear" w:color="auto" w:fill="FFFFFF"/>
                <w:lang w:val="fo-FO"/>
              </w:rPr>
            </w:pPr>
            <w:r>
              <w:rPr>
                <w:b/>
                <w:bCs/>
                <w:color w:val="000000"/>
                <w:shd w:val="clear" w:color="auto" w:fill="FFFFFF"/>
                <w:lang w:val="fo-FO"/>
              </w:rPr>
              <w:lastRenderedPageBreak/>
              <w:t>§ 8 b.</w:t>
            </w:r>
            <w:r>
              <w:rPr>
                <w:color w:val="000000"/>
                <w:shd w:val="clear" w:color="auto" w:fill="FFFFFF"/>
                <w:lang w:val="fo-FO"/>
              </w:rPr>
              <w:t xml:space="preserve"> Húsalánsgrunnurin kann fíggja bygging av bústøðum upp til 250 mió. kr. við at skriva út lánsbrøv til íleggjarar í Føroyum, við at taka lán frá </w:t>
            </w:r>
            <w:proofErr w:type="spellStart"/>
            <w:r>
              <w:rPr>
                <w:color w:val="000000"/>
                <w:shd w:val="clear" w:color="auto" w:fill="FFFFFF"/>
                <w:lang w:val="fo-FO"/>
              </w:rPr>
              <w:t>stovnsligum</w:t>
            </w:r>
            <w:proofErr w:type="spellEnd"/>
            <w:r>
              <w:rPr>
                <w:color w:val="000000"/>
                <w:shd w:val="clear" w:color="auto" w:fill="FFFFFF"/>
                <w:lang w:val="fo-FO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fo-FO"/>
              </w:rPr>
              <w:t>íleggjarum</w:t>
            </w:r>
            <w:proofErr w:type="spellEnd"/>
            <w:r>
              <w:rPr>
                <w:color w:val="000000"/>
                <w:shd w:val="clear" w:color="auto" w:fill="FFFFFF"/>
                <w:lang w:val="fo-FO"/>
              </w:rPr>
              <w:t xml:space="preserve"> í Føroyum ella við bankaláni úr føroyskum banka.</w:t>
            </w:r>
          </w:p>
          <w:p w14:paraId="4653438C" w14:textId="77777777" w:rsid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i/>
                <w:iCs/>
                <w:color w:val="000000"/>
                <w:shd w:val="clear" w:color="auto" w:fill="FFFFFF"/>
                <w:lang w:val="fo-FO"/>
              </w:rPr>
            </w:pPr>
            <w:r>
              <w:rPr>
                <w:i/>
                <w:iCs/>
                <w:color w:val="000000"/>
                <w:shd w:val="clear" w:color="auto" w:fill="FFFFFF"/>
                <w:lang w:val="fo-FO"/>
              </w:rPr>
              <w:t>Stk. 2. ...</w:t>
            </w:r>
          </w:p>
          <w:p w14:paraId="0B215BB6" w14:textId="1EC9FF49" w:rsidR="00C27A80" w:rsidRP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7D071E22" w14:textId="77777777" w:rsidR="00E33262" w:rsidRDefault="00E33262" w:rsidP="00E33262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 xml:space="preserve">§ 8 b, stk. 1 verður orðað soleiðis: </w:t>
            </w:r>
          </w:p>
          <w:p w14:paraId="3D5601E7" w14:textId="151C0B98" w:rsidR="00BA5569" w:rsidRDefault="00E33262" w:rsidP="00E33262">
            <w:pPr>
              <w:pStyle w:val="ListParagraph"/>
              <w:spacing w:after="0"/>
              <w:ind w:left="360"/>
              <w:rPr>
                <w:noProof/>
              </w:rPr>
            </w:pPr>
            <w:r>
              <w:t>“</w:t>
            </w:r>
            <w:r w:rsidRPr="00A20E35">
              <w:rPr>
                <w:i/>
                <w:iCs/>
              </w:rPr>
              <w:t xml:space="preserve">Stk. 1. </w:t>
            </w:r>
            <w:r w:rsidRPr="002635DE">
              <w:t>Húsalánsgrunnurin kann fíggja bygging av bústøðum upp til 250 mió. kr. við at skriva út lánsbrøv</w:t>
            </w:r>
            <w:r>
              <w:t xml:space="preserve">, </w:t>
            </w:r>
            <w:r w:rsidRPr="002635DE">
              <w:t>við lán</w:t>
            </w:r>
            <w:r>
              <w:t>i</w:t>
            </w:r>
            <w:r w:rsidRPr="002635DE">
              <w:t xml:space="preserve"> frá </w:t>
            </w:r>
            <w:proofErr w:type="spellStart"/>
            <w:r w:rsidRPr="002635DE">
              <w:t>stovnsligum</w:t>
            </w:r>
            <w:proofErr w:type="spellEnd"/>
            <w:r w:rsidRPr="002635DE">
              <w:t xml:space="preserve"> </w:t>
            </w:r>
            <w:proofErr w:type="spellStart"/>
            <w:r w:rsidRPr="002635DE">
              <w:t>íleggjarum</w:t>
            </w:r>
            <w:proofErr w:type="spellEnd"/>
            <w:r w:rsidRPr="002635DE">
              <w:t xml:space="preserve"> ella við bankaláni.</w:t>
            </w:r>
            <w:r>
              <w:t>”</w:t>
            </w:r>
          </w:p>
          <w:p w14:paraId="19C804B3" w14:textId="77777777" w:rsidR="00BA5569" w:rsidRDefault="00BA5569" w:rsidP="00BA5569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</w:rPr>
            </w:pPr>
          </w:p>
        </w:tc>
      </w:tr>
      <w:tr w:rsidR="00F96C37" w:rsidRPr="003B1A5C" w14:paraId="5C872CB3" w14:textId="77777777" w:rsidTr="001E4F35">
        <w:tc>
          <w:tcPr>
            <w:tcW w:w="4864" w:type="dxa"/>
          </w:tcPr>
          <w:p w14:paraId="06A405B6" w14:textId="3D4981FC" w:rsidR="00F96C37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§ 8 c.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Húsalánsgrunnurin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kann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harafturat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eftir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teimum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treytum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ið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ásettar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eru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í § 8 b, stk. 1-5,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fíggja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bústaðabygging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upp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til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450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mió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 kr.</w:t>
            </w:r>
          </w:p>
          <w:p w14:paraId="2B3B871F" w14:textId="77777777" w:rsid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i/>
                <w:iCs/>
                <w:noProof/>
                <w:color w:val="000000"/>
                <w:shd w:val="clear" w:color="auto" w:fill="FFFFFF"/>
                <w:lang w:val="en-US"/>
              </w:rPr>
            </w:pPr>
            <w:r>
              <w:rPr>
                <w:i/>
                <w:iCs/>
                <w:noProof/>
                <w:color w:val="000000"/>
                <w:shd w:val="clear" w:color="auto" w:fill="FFFFFF"/>
                <w:lang w:val="en-US"/>
              </w:rPr>
              <w:t>Stk. 2-4. …</w:t>
            </w:r>
          </w:p>
          <w:p w14:paraId="19B0BF6A" w14:textId="03533C43" w:rsidR="00C27A80" w:rsidRP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0D58D85F" w14:textId="297F58E2" w:rsidR="00F96C37" w:rsidRPr="000D19A0" w:rsidRDefault="00E33262" w:rsidP="00F96C37">
            <w:pPr>
              <w:pStyle w:val="ListParagraph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>Í § 8 c, stk. 1 verður “450 mió. kr.” broytt til “800 mió. kr.”</w:t>
            </w:r>
          </w:p>
          <w:p w14:paraId="2CABF949" w14:textId="77777777" w:rsidR="00F96C37" w:rsidRDefault="00F96C37" w:rsidP="00F96C37">
            <w:pPr>
              <w:pStyle w:val="ListParagraph"/>
              <w:spacing w:after="0"/>
              <w:ind w:left="360"/>
              <w:rPr>
                <w:noProof/>
              </w:rPr>
            </w:pPr>
          </w:p>
        </w:tc>
      </w:tr>
      <w:tr w:rsidR="00F96C37" w:rsidRPr="003B1A5C" w14:paraId="0360218B" w14:textId="77777777" w:rsidTr="001E4F35">
        <w:tc>
          <w:tcPr>
            <w:tcW w:w="4864" w:type="dxa"/>
          </w:tcPr>
          <w:p w14:paraId="2E865174" w14:textId="791E77F4" w:rsidR="00C27A80" w:rsidRDefault="00C27A80" w:rsidP="00C27A80">
            <w:pPr>
              <w:pStyle w:val="paragraftekst0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§ 8 c.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…</w:t>
            </w:r>
          </w:p>
          <w:p w14:paraId="71EFA648" w14:textId="23F532F0" w:rsidR="00C27A80" w:rsidRDefault="00C27A80" w:rsidP="00C27A80">
            <w:pPr>
              <w:pStyle w:val="stk0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Stk. 2.</w:t>
            </w:r>
            <w:r>
              <w:rPr>
                <w:color w:val="000000"/>
                <w:lang w:val="en-US"/>
              </w:rPr>
              <w:t> </w:t>
            </w:r>
            <w:bookmarkStart w:id="1" w:name="_Ref136506273"/>
            <w:bookmarkEnd w:id="1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Av 450 </w:t>
            </w:r>
            <w:proofErr w:type="spellStart"/>
            <w:r>
              <w:rPr>
                <w:color w:val="000000"/>
                <w:lang w:val="en-US"/>
              </w:rPr>
              <w:t>mió</w:t>
            </w:r>
            <w:proofErr w:type="spellEnd"/>
            <w:r>
              <w:rPr>
                <w:color w:val="000000"/>
                <w:lang w:val="en-US"/>
              </w:rPr>
              <w:t xml:space="preserve">. kr. </w:t>
            </w:r>
            <w:proofErr w:type="spellStart"/>
            <w:r>
              <w:rPr>
                <w:color w:val="000000"/>
                <w:lang w:val="en-US"/>
              </w:rPr>
              <w:t>skulu</w:t>
            </w:r>
            <w:proofErr w:type="spellEnd"/>
            <w:r>
              <w:rPr>
                <w:color w:val="000000"/>
                <w:lang w:val="en-US"/>
              </w:rPr>
              <w:t xml:space="preserve"> 250 </w:t>
            </w:r>
            <w:proofErr w:type="spellStart"/>
            <w:r>
              <w:rPr>
                <w:color w:val="000000"/>
                <w:lang w:val="en-US"/>
              </w:rPr>
              <w:t>mió</w:t>
            </w:r>
            <w:proofErr w:type="spellEnd"/>
            <w:r>
              <w:rPr>
                <w:color w:val="000000"/>
                <w:lang w:val="en-US"/>
              </w:rPr>
              <w:t xml:space="preserve">. kr. </w:t>
            </w:r>
            <w:proofErr w:type="spellStart"/>
            <w:r>
              <w:rPr>
                <w:color w:val="000000"/>
                <w:lang w:val="en-US"/>
              </w:rPr>
              <w:t>fíggja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bústaðabygging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kring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landið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Harafturat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skulu</w:t>
            </w:r>
            <w:proofErr w:type="spellEnd"/>
            <w:r>
              <w:rPr>
                <w:color w:val="000000"/>
                <w:lang w:val="en-US"/>
              </w:rPr>
              <w:t xml:space="preserve"> 200 </w:t>
            </w:r>
            <w:proofErr w:type="spellStart"/>
            <w:r>
              <w:rPr>
                <w:color w:val="000000"/>
                <w:lang w:val="en-US"/>
              </w:rPr>
              <w:t>mió</w:t>
            </w:r>
            <w:proofErr w:type="spellEnd"/>
            <w:r>
              <w:rPr>
                <w:color w:val="000000"/>
                <w:lang w:val="en-US"/>
              </w:rPr>
              <w:t xml:space="preserve">. kr. </w:t>
            </w:r>
            <w:proofErr w:type="spellStart"/>
            <w:r>
              <w:rPr>
                <w:color w:val="000000"/>
                <w:lang w:val="en-US"/>
              </w:rPr>
              <w:t>fíggja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bústaðaverkætlanir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til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serligar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málbólkar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Landsstýrismaðurin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tekur</w:t>
            </w:r>
            <w:proofErr w:type="spellEnd"/>
            <w:r>
              <w:rPr>
                <w:color w:val="000000"/>
                <w:lang w:val="en-US"/>
              </w:rPr>
              <w:t xml:space="preserve">, í </w:t>
            </w:r>
            <w:proofErr w:type="spellStart"/>
            <w:r>
              <w:rPr>
                <w:color w:val="000000"/>
                <w:lang w:val="en-US"/>
              </w:rPr>
              <w:t>samráð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Húsalánsgrunnin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avgerð</w:t>
            </w:r>
            <w:proofErr w:type="spellEnd"/>
            <w:r>
              <w:rPr>
                <w:color w:val="000000"/>
                <w:lang w:val="en-US"/>
              </w:rPr>
              <w:t xml:space="preserve"> um </w:t>
            </w:r>
            <w:proofErr w:type="spellStart"/>
            <w:r>
              <w:rPr>
                <w:color w:val="000000"/>
                <w:lang w:val="en-US"/>
              </w:rPr>
              <w:t>staðseting</w:t>
            </w:r>
            <w:proofErr w:type="spellEnd"/>
            <w:r>
              <w:rPr>
                <w:color w:val="000000"/>
                <w:lang w:val="en-US"/>
              </w:rPr>
              <w:t xml:space="preserve"> og </w:t>
            </w:r>
            <w:proofErr w:type="spellStart"/>
            <w:r>
              <w:rPr>
                <w:color w:val="000000"/>
                <w:lang w:val="en-US"/>
              </w:rPr>
              <w:t>avmarking</w:t>
            </w:r>
            <w:proofErr w:type="spellEnd"/>
            <w:r>
              <w:rPr>
                <w:color w:val="000000"/>
                <w:lang w:val="en-US"/>
              </w:rPr>
              <w:t xml:space="preserve"> av </w:t>
            </w:r>
            <w:proofErr w:type="spellStart"/>
            <w:r>
              <w:rPr>
                <w:color w:val="000000"/>
                <w:lang w:val="en-US"/>
              </w:rPr>
              <w:t>málbólkum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til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íbúðarverkætlanir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til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serligar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málbólkar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  <w:p w14:paraId="10AFD93D" w14:textId="6DBF6D68" w:rsidR="00090B38" w:rsidRPr="00090B38" w:rsidRDefault="00090B38" w:rsidP="00C27A80">
            <w:pPr>
              <w:pStyle w:val="stk0"/>
              <w:shd w:val="clear" w:color="auto" w:fill="FFFFFF"/>
              <w:spacing w:before="0" w:beforeAutospacing="0" w:after="0" w:afterAutospacing="0"/>
              <w:ind w:firstLine="17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Stk. 3-4. …</w:t>
            </w:r>
          </w:p>
          <w:p w14:paraId="6E3CA02B" w14:textId="0A7A868D" w:rsidR="00F96C37" w:rsidRPr="003B1A5C" w:rsidRDefault="00F96C37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26D98F6D" w14:textId="43437226" w:rsidR="00F96C37" w:rsidRPr="0023637D" w:rsidRDefault="00E33262" w:rsidP="00E33262">
            <w:pPr>
              <w:pStyle w:val="ListParagraph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>Í § 8 c, stk. 2 verður “450 mió. kr. skulu 250 mió. kr.” broytt til “800 mió. kr. skulu 600 mió. kr.”</w:t>
            </w:r>
            <w:r w:rsidRPr="000A129D">
              <w:t>.</w:t>
            </w:r>
          </w:p>
        </w:tc>
      </w:tr>
      <w:tr w:rsidR="00B4766D" w:rsidRPr="003B1A5C" w14:paraId="5CB44F7E" w14:textId="77777777" w:rsidTr="001E4F35">
        <w:tc>
          <w:tcPr>
            <w:tcW w:w="4864" w:type="dxa"/>
          </w:tcPr>
          <w:p w14:paraId="20722901" w14:textId="77777777" w:rsidR="00F96C37" w:rsidRDefault="00090B38" w:rsidP="00090B38">
            <w:pPr>
              <w:pStyle w:val="paragraftekst0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§ 8 d. 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Húsalánsgrunnurin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kann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stovna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partafeløg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til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virksemi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fevnt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av § 8 c, stk. 1 og 2,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treytað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av at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verkætlanin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hevur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ein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ella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fleiri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íleggjarar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  <w:p w14:paraId="4FFEFFFE" w14:textId="0B762B00" w:rsidR="00090B38" w:rsidRPr="00E33262" w:rsidRDefault="00090B38" w:rsidP="00090B38">
            <w:pPr>
              <w:pStyle w:val="paragraftekst0"/>
              <w:shd w:val="clear" w:color="auto" w:fill="FFFFFF"/>
              <w:spacing w:before="0" w:beforeAutospacing="0" w:after="0" w:afterAutospacing="0"/>
              <w:ind w:firstLine="170"/>
              <w:rPr>
                <w:i/>
                <w:iCs/>
                <w:noProof/>
                <w:color w:val="000000"/>
                <w:shd w:val="clear" w:color="auto" w:fill="FFFFFF"/>
                <w:lang w:val="fo-FO"/>
              </w:rPr>
            </w:pPr>
            <w:r>
              <w:rPr>
                <w:i/>
                <w:iCs/>
                <w:noProof/>
                <w:color w:val="000000"/>
                <w:shd w:val="clear" w:color="auto" w:fill="FFFFFF"/>
                <w:lang w:val="fo-FO"/>
              </w:rPr>
              <w:t>Stk. 2. ...</w:t>
            </w:r>
          </w:p>
        </w:tc>
        <w:tc>
          <w:tcPr>
            <w:tcW w:w="4862" w:type="dxa"/>
          </w:tcPr>
          <w:p w14:paraId="29194357" w14:textId="77777777" w:rsidR="00E33262" w:rsidRDefault="00E33262" w:rsidP="00E33262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>Í § 8 d verður stk. 1 orðað soleiðis:</w:t>
            </w:r>
          </w:p>
          <w:p w14:paraId="788C603C" w14:textId="49391787" w:rsidR="00DD07C1" w:rsidRPr="003B1A5C" w:rsidRDefault="00E33262" w:rsidP="00E33262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  <w:color w:val="000000"/>
                <w:shd w:val="clear" w:color="auto" w:fill="FFFFFF"/>
                <w:lang w:val="fo-FO"/>
              </w:rPr>
            </w:pPr>
            <w:r>
              <w:t>“</w:t>
            </w:r>
            <w:r>
              <w:rPr>
                <w:b/>
                <w:bCs/>
              </w:rPr>
              <w:t>§ 8 d.</w:t>
            </w:r>
            <w:r>
              <w:t xml:space="preserve"> </w:t>
            </w:r>
            <w:proofErr w:type="spellStart"/>
            <w:r>
              <w:t>Húsalánsgrunnurin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øðrum</w:t>
            </w:r>
            <w:proofErr w:type="spellEnd"/>
            <w:r>
              <w:t xml:space="preserve"> </w:t>
            </w:r>
            <w:proofErr w:type="spellStart"/>
            <w:r>
              <w:t>stovnað</w:t>
            </w:r>
            <w:proofErr w:type="spellEnd"/>
            <w:r>
              <w:t xml:space="preserve"> </w:t>
            </w:r>
            <w:proofErr w:type="spellStart"/>
            <w:r>
              <w:t>partafeløg</w:t>
            </w:r>
            <w:proofErr w:type="spellEnd"/>
            <w:r>
              <w:t xml:space="preserve"> til </w:t>
            </w:r>
            <w:proofErr w:type="spellStart"/>
            <w:r>
              <w:t>virksemi</w:t>
            </w:r>
            <w:proofErr w:type="spellEnd"/>
            <w:r>
              <w:t xml:space="preserve"> </w:t>
            </w:r>
            <w:proofErr w:type="spellStart"/>
            <w:r>
              <w:t>fevnt</w:t>
            </w:r>
            <w:proofErr w:type="spellEnd"/>
            <w:r>
              <w:t xml:space="preserve"> av § 5 b, stk. 1 og § 8 c, stk. 1 og 2.”</w:t>
            </w:r>
          </w:p>
          <w:p w14:paraId="04AF8600" w14:textId="22454A50" w:rsidR="001419D8" w:rsidRPr="003B1A5C" w:rsidRDefault="001419D8" w:rsidP="00183C82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</w:tr>
    </w:tbl>
    <w:p w14:paraId="73F84A3E" w14:textId="50B19FE4" w:rsidR="00081C11" w:rsidRPr="003B1A5C" w:rsidRDefault="00081C11" w:rsidP="00183C82">
      <w:pPr>
        <w:spacing w:line="276" w:lineRule="auto"/>
        <w:rPr>
          <w:noProof/>
        </w:rPr>
      </w:pPr>
    </w:p>
    <w:sectPr w:rsidR="00081C11" w:rsidRPr="003B1A5C" w:rsidSect="00AB4E3E">
      <w:headerReference w:type="even" r:id="rId7"/>
      <w:headerReference w:type="default" r:id="rId8"/>
      <w:footerReference w:type="default" r:id="rId9"/>
      <w:type w:val="continuous"/>
      <w:pgSz w:w="11906" w:h="16838"/>
      <w:pgMar w:top="993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284D" w14:textId="77777777" w:rsidR="00AE1A56" w:rsidRDefault="00AE1A56">
      <w:pPr>
        <w:spacing w:after="0"/>
      </w:pPr>
      <w:r>
        <w:separator/>
      </w:r>
    </w:p>
  </w:endnote>
  <w:endnote w:type="continuationSeparator" w:id="0">
    <w:p w14:paraId="514FD582" w14:textId="77777777" w:rsidR="00AE1A56" w:rsidRDefault="00AE1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0AC2" w14:textId="77777777" w:rsidR="00532AF3" w:rsidRDefault="00532AF3">
    <w:pPr>
      <w:pStyle w:val="Footer"/>
      <w:jc w:val="center"/>
    </w:pPr>
    <w:r w:rsidRPr="00BD0332">
      <w:rPr>
        <w:bCs/>
      </w:rPr>
      <w:fldChar w:fldCharType="begin"/>
    </w:r>
    <w:r w:rsidRPr="00BD0332">
      <w:rPr>
        <w:bCs/>
      </w:rPr>
      <w:instrText>PAGE</w:instrText>
    </w:r>
    <w:r w:rsidRPr="00BD0332">
      <w:rPr>
        <w:bCs/>
      </w:rPr>
      <w:fldChar w:fldCharType="separate"/>
    </w:r>
    <w:r w:rsidR="00997DB1">
      <w:rPr>
        <w:bCs/>
        <w:noProof/>
      </w:rPr>
      <w:t>10</w:t>
    </w:r>
    <w:r w:rsidRPr="00BD0332">
      <w:rPr>
        <w:bCs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</w:rPr>
      <w:fldChar w:fldCharType="begin"/>
    </w:r>
    <w:r w:rsidRPr="00BD0332">
      <w:rPr>
        <w:bCs/>
      </w:rPr>
      <w:instrText>NUMPAGES</w:instrText>
    </w:r>
    <w:r w:rsidRPr="00BD0332">
      <w:rPr>
        <w:bCs/>
      </w:rPr>
      <w:fldChar w:fldCharType="separate"/>
    </w:r>
    <w:r w:rsidR="00997DB1">
      <w:rPr>
        <w:bCs/>
        <w:noProof/>
      </w:rPr>
      <w:t>10</w:t>
    </w:r>
    <w:r w:rsidRPr="00BD0332">
      <w:rPr>
        <w:bCs/>
      </w:rPr>
      <w:fldChar w:fldCharType="end"/>
    </w:r>
  </w:p>
  <w:p w14:paraId="00F2C0BF" w14:textId="77777777" w:rsidR="00532AF3" w:rsidRDefault="00532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EB29" w14:textId="77777777" w:rsidR="00AE1A56" w:rsidRDefault="00AE1A56">
      <w:pPr>
        <w:spacing w:after="0"/>
      </w:pPr>
      <w:r>
        <w:separator/>
      </w:r>
    </w:p>
  </w:footnote>
  <w:footnote w:type="continuationSeparator" w:id="0">
    <w:p w14:paraId="117F5521" w14:textId="77777777" w:rsidR="00AE1A56" w:rsidRDefault="00AE1A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47F" w14:textId="77777777" w:rsidR="00532AF3" w:rsidRPr="00DA32B2" w:rsidRDefault="00532AF3">
    <w:pPr>
      <w:pStyle w:val="Header"/>
    </w:pPr>
  </w:p>
  <w:p w14:paraId="479E2C0B" w14:textId="77777777" w:rsidR="00532AF3" w:rsidRPr="00DA32B2" w:rsidRDefault="00532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714E" w14:textId="77777777" w:rsidR="00532AF3" w:rsidRPr="00DA32B2" w:rsidRDefault="00532AF3" w:rsidP="00035C9D">
    <w:pPr>
      <w:pStyle w:val="Header"/>
      <w:tabs>
        <w:tab w:val="left" w:pos="3690"/>
      </w:tabs>
      <w:spacing w:before="24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97"/>
    <w:multiLevelType w:val="hybridMultilevel"/>
    <w:tmpl w:val="8174C8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75A"/>
    <w:multiLevelType w:val="hybridMultilevel"/>
    <w:tmpl w:val="E9F87B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733"/>
    <w:multiLevelType w:val="hybridMultilevel"/>
    <w:tmpl w:val="FC504DA0"/>
    <w:lvl w:ilvl="0" w:tplc="2C3C6B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482"/>
    <w:multiLevelType w:val="hybridMultilevel"/>
    <w:tmpl w:val="3F42471C"/>
    <w:lvl w:ilvl="0" w:tplc="99AC05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C0801"/>
    <w:multiLevelType w:val="hybridMultilevel"/>
    <w:tmpl w:val="80A6D550"/>
    <w:lvl w:ilvl="0" w:tplc="27204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62CF9"/>
    <w:multiLevelType w:val="multilevel"/>
    <w:tmpl w:val="B8A4230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33C68"/>
    <w:multiLevelType w:val="multilevel"/>
    <w:tmpl w:val="26C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3601A"/>
    <w:multiLevelType w:val="hybridMultilevel"/>
    <w:tmpl w:val="F272B858"/>
    <w:lvl w:ilvl="0" w:tplc="5EFECDD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856268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572486">
    <w:abstractNumId w:val="2"/>
  </w:num>
  <w:num w:numId="3" w16cid:durableId="576786421">
    <w:abstractNumId w:val="6"/>
  </w:num>
  <w:num w:numId="4" w16cid:durableId="1581332710">
    <w:abstractNumId w:val="4"/>
  </w:num>
  <w:num w:numId="5" w16cid:durableId="83110390">
    <w:abstractNumId w:val="1"/>
  </w:num>
  <w:num w:numId="6" w16cid:durableId="1692796762">
    <w:abstractNumId w:val="8"/>
  </w:num>
  <w:num w:numId="7" w16cid:durableId="1120224779">
    <w:abstractNumId w:val="3"/>
  </w:num>
  <w:num w:numId="8" w16cid:durableId="2058317776">
    <w:abstractNumId w:val="5"/>
  </w:num>
  <w:num w:numId="9" w16cid:durableId="320158456">
    <w:abstractNumId w:val="7"/>
  </w:num>
  <w:num w:numId="10" w16cid:durableId="194290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469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D"/>
    <w:rsid w:val="000017D4"/>
    <w:rsid w:val="00006C13"/>
    <w:rsid w:val="0002609A"/>
    <w:rsid w:val="0003064D"/>
    <w:rsid w:val="00050599"/>
    <w:rsid w:val="00067A5B"/>
    <w:rsid w:val="00073F0E"/>
    <w:rsid w:val="0007570F"/>
    <w:rsid w:val="00081C11"/>
    <w:rsid w:val="00090B38"/>
    <w:rsid w:val="000A129D"/>
    <w:rsid w:val="000B1057"/>
    <w:rsid w:val="000B2A48"/>
    <w:rsid w:val="000D42D4"/>
    <w:rsid w:val="000D7471"/>
    <w:rsid w:val="000F6B24"/>
    <w:rsid w:val="00114E89"/>
    <w:rsid w:val="00124124"/>
    <w:rsid w:val="0013220A"/>
    <w:rsid w:val="001419D8"/>
    <w:rsid w:val="0015217E"/>
    <w:rsid w:val="001662E4"/>
    <w:rsid w:val="00183C82"/>
    <w:rsid w:val="0018539E"/>
    <w:rsid w:val="001A5B40"/>
    <w:rsid w:val="001E182B"/>
    <w:rsid w:val="001E4F35"/>
    <w:rsid w:val="001F46B0"/>
    <w:rsid w:val="00202881"/>
    <w:rsid w:val="00206449"/>
    <w:rsid w:val="002161D6"/>
    <w:rsid w:val="002173D7"/>
    <w:rsid w:val="00223BC7"/>
    <w:rsid w:val="002325BE"/>
    <w:rsid w:val="002434BA"/>
    <w:rsid w:val="00272EF8"/>
    <w:rsid w:val="002760BE"/>
    <w:rsid w:val="002A311D"/>
    <w:rsid w:val="002C3518"/>
    <w:rsid w:val="003403F8"/>
    <w:rsid w:val="00345802"/>
    <w:rsid w:val="00346CD5"/>
    <w:rsid w:val="00355A6B"/>
    <w:rsid w:val="00373A12"/>
    <w:rsid w:val="00382D3E"/>
    <w:rsid w:val="00387EFF"/>
    <w:rsid w:val="003A14A9"/>
    <w:rsid w:val="003A4EEF"/>
    <w:rsid w:val="003B1A5C"/>
    <w:rsid w:val="003E1C2E"/>
    <w:rsid w:val="00405BCB"/>
    <w:rsid w:val="00430A21"/>
    <w:rsid w:val="00430B3C"/>
    <w:rsid w:val="00445116"/>
    <w:rsid w:val="00463369"/>
    <w:rsid w:val="00464B23"/>
    <w:rsid w:val="00482621"/>
    <w:rsid w:val="004A0C02"/>
    <w:rsid w:val="004B576F"/>
    <w:rsid w:val="004D112E"/>
    <w:rsid w:val="004E33F1"/>
    <w:rsid w:val="004E71E7"/>
    <w:rsid w:val="004F0613"/>
    <w:rsid w:val="004F2F95"/>
    <w:rsid w:val="00500E72"/>
    <w:rsid w:val="00500F83"/>
    <w:rsid w:val="005154E2"/>
    <w:rsid w:val="00522182"/>
    <w:rsid w:val="00532AF3"/>
    <w:rsid w:val="00555CE7"/>
    <w:rsid w:val="0056565C"/>
    <w:rsid w:val="005776D1"/>
    <w:rsid w:val="005F47FE"/>
    <w:rsid w:val="005F7AF1"/>
    <w:rsid w:val="006468FB"/>
    <w:rsid w:val="00650944"/>
    <w:rsid w:val="00652420"/>
    <w:rsid w:val="0065440A"/>
    <w:rsid w:val="00666543"/>
    <w:rsid w:val="00680FEB"/>
    <w:rsid w:val="00692A0F"/>
    <w:rsid w:val="006B6F06"/>
    <w:rsid w:val="006C6489"/>
    <w:rsid w:val="006D527C"/>
    <w:rsid w:val="00705A9F"/>
    <w:rsid w:val="0076722E"/>
    <w:rsid w:val="00777237"/>
    <w:rsid w:val="007817E4"/>
    <w:rsid w:val="007B21E9"/>
    <w:rsid w:val="007E220B"/>
    <w:rsid w:val="007E4A56"/>
    <w:rsid w:val="007F6BA3"/>
    <w:rsid w:val="00800623"/>
    <w:rsid w:val="0082566C"/>
    <w:rsid w:val="00825CB3"/>
    <w:rsid w:val="00884748"/>
    <w:rsid w:val="00885451"/>
    <w:rsid w:val="008A2CCC"/>
    <w:rsid w:val="008B2636"/>
    <w:rsid w:val="0090300A"/>
    <w:rsid w:val="00915F2D"/>
    <w:rsid w:val="0092126D"/>
    <w:rsid w:val="009247B3"/>
    <w:rsid w:val="00953772"/>
    <w:rsid w:val="0099427D"/>
    <w:rsid w:val="00997DB1"/>
    <w:rsid w:val="009B1CDB"/>
    <w:rsid w:val="009B5CBC"/>
    <w:rsid w:val="009B6330"/>
    <w:rsid w:val="009C0577"/>
    <w:rsid w:val="00A0696A"/>
    <w:rsid w:val="00A21E7E"/>
    <w:rsid w:val="00A43062"/>
    <w:rsid w:val="00A520AD"/>
    <w:rsid w:val="00A61458"/>
    <w:rsid w:val="00A75457"/>
    <w:rsid w:val="00A8127C"/>
    <w:rsid w:val="00A963CC"/>
    <w:rsid w:val="00AB4E3E"/>
    <w:rsid w:val="00AD28FC"/>
    <w:rsid w:val="00AE1A56"/>
    <w:rsid w:val="00AF456A"/>
    <w:rsid w:val="00AF4D40"/>
    <w:rsid w:val="00AF589B"/>
    <w:rsid w:val="00B114BD"/>
    <w:rsid w:val="00B23B76"/>
    <w:rsid w:val="00B45C30"/>
    <w:rsid w:val="00B4766D"/>
    <w:rsid w:val="00B57CA7"/>
    <w:rsid w:val="00B75E5F"/>
    <w:rsid w:val="00B94159"/>
    <w:rsid w:val="00B973E6"/>
    <w:rsid w:val="00BA5569"/>
    <w:rsid w:val="00BF6760"/>
    <w:rsid w:val="00C04D66"/>
    <w:rsid w:val="00C27A80"/>
    <w:rsid w:val="00C27D81"/>
    <w:rsid w:val="00C318E6"/>
    <w:rsid w:val="00C32A0D"/>
    <w:rsid w:val="00C5553D"/>
    <w:rsid w:val="00C56B72"/>
    <w:rsid w:val="00C80747"/>
    <w:rsid w:val="00C8383D"/>
    <w:rsid w:val="00CA0A7F"/>
    <w:rsid w:val="00CB2470"/>
    <w:rsid w:val="00CD1EF7"/>
    <w:rsid w:val="00CF1030"/>
    <w:rsid w:val="00CF6168"/>
    <w:rsid w:val="00D2762A"/>
    <w:rsid w:val="00D37EE6"/>
    <w:rsid w:val="00D4091E"/>
    <w:rsid w:val="00D45581"/>
    <w:rsid w:val="00D47624"/>
    <w:rsid w:val="00D508B2"/>
    <w:rsid w:val="00D753C7"/>
    <w:rsid w:val="00DC5C96"/>
    <w:rsid w:val="00DD07C1"/>
    <w:rsid w:val="00DE1485"/>
    <w:rsid w:val="00DE6BFD"/>
    <w:rsid w:val="00DF139F"/>
    <w:rsid w:val="00DF2856"/>
    <w:rsid w:val="00DF4F2D"/>
    <w:rsid w:val="00E0419D"/>
    <w:rsid w:val="00E273FD"/>
    <w:rsid w:val="00E32FB2"/>
    <w:rsid w:val="00E33262"/>
    <w:rsid w:val="00E36F2E"/>
    <w:rsid w:val="00E60021"/>
    <w:rsid w:val="00E73922"/>
    <w:rsid w:val="00E94532"/>
    <w:rsid w:val="00EE0487"/>
    <w:rsid w:val="00EF42A3"/>
    <w:rsid w:val="00F00A6A"/>
    <w:rsid w:val="00F07A1C"/>
    <w:rsid w:val="00F101C9"/>
    <w:rsid w:val="00F2780C"/>
    <w:rsid w:val="00F315D5"/>
    <w:rsid w:val="00F53AFF"/>
    <w:rsid w:val="00F62748"/>
    <w:rsid w:val="00F71071"/>
    <w:rsid w:val="00F94215"/>
    <w:rsid w:val="00F96C37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F13E"/>
  <w14:defaultImageDpi w14:val="330"/>
  <w15:chartTrackingRefBased/>
  <w15:docId w15:val="{7711E0D6-A855-42F8-A86E-83CF278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35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F3"/>
    <w:rPr>
      <w:sz w:val="24"/>
      <w:szCs w:val="22"/>
      <w:lang w:val="da-DK" w:eastAsia="en-US"/>
    </w:rPr>
  </w:style>
  <w:style w:type="paragraph" w:styleId="Footer">
    <w:name w:val="footer"/>
    <w:basedOn w:val="Normal"/>
    <w:link w:val="FooterChar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F3"/>
    <w:rPr>
      <w:sz w:val="24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E60021"/>
    <w:pPr>
      <w:ind w:left="720"/>
      <w:contextualSpacing/>
    </w:pPr>
  </w:style>
  <w:style w:type="character" w:customStyle="1" w:styleId="TypografiFed">
    <w:name w:val="Typografi Fed"/>
    <w:basedOn w:val="DefaultParagraphFont"/>
    <w:rsid w:val="00E60021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DefaultParagraphFont"/>
    <w:rsid w:val="00E60021"/>
    <w:rPr>
      <w:rFonts w:ascii="Times New Roman" w:hAnsi="Times New Roman" w:cs="Times New Roman" w:hint="default"/>
      <w:i/>
      <w:iCs/>
      <w:sz w:val="24"/>
    </w:rPr>
  </w:style>
  <w:style w:type="table" w:styleId="TableGrid">
    <w:name w:val="Table Grid"/>
    <w:basedOn w:val="TableNormal"/>
    <w:uiPriority w:val="59"/>
    <w:rsid w:val="00E600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leNormal"/>
    <w:uiPriority w:val="59"/>
    <w:locked/>
    <w:rsid w:val="00E6002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53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383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73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tekst0">
    <w:name w:val="paragraftekst"/>
    <w:basedOn w:val="Normal"/>
    <w:rsid w:val="00E273FD"/>
    <w:pPr>
      <w:spacing w:before="100" w:beforeAutospacing="1" w:after="100" w:afterAutospacing="1"/>
    </w:pPr>
    <w:rPr>
      <w:rFonts w:eastAsia="Times New Roman"/>
      <w:lang w:val="da-DK" w:eastAsia="da-DK"/>
    </w:rPr>
  </w:style>
  <w:style w:type="paragraph" w:customStyle="1" w:styleId="stk0">
    <w:name w:val="stk"/>
    <w:basedOn w:val="Normal"/>
    <w:rsid w:val="00E273FD"/>
    <w:pPr>
      <w:spacing w:before="100" w:beforeAutospacing="1" w:after="100" w:afterAutospacing="1"/>
    </w:pPr>
    <w:rPr>
      <w:rFonts w:eastAsia="Times New Roman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E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220B"/>
  </w:style>
  <w:style w:type="character" w:styleId="UnresolvedMention">
    <w:name w:val="Unresolved Mention"/>
    <w:basedOn w:val="DefaultParagraphFont"/>
    <w:uiPriority w:val="99"/>
    <w:semiHidden/>
    <w:unhideWhenUsed/>
    <w:rsid w:val="00515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40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F2856"/>
  </w:style>
  <w:style w:type="numbering" w:customStyle="1" w:styleId="CurrentList1">
    <w:name w:val="Current List1"/>
    <w:uiPriority w:val="99"/>
    <w:rsid w:val="00BA556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553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Uppskot til broytingarløgtingslóg</vt:lpstr>
      <vt:lpstr>Uppskot til broytingarløgtingslóg</vt:lpstr>
    </vt:vector>
  </TitlesOfParts>
  <Company>Lógartænastan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broytingarløgtingslóg</dc:title>
  <dc:subject>Uppskot til broytingarløgtingslóg løgtingslóg</dc:subject>
  <dc:creator>Mortan Hentze</dc:creator>
  <cp:keywords>5. útgáva - desember 2020</cp:keywords>
  <dc:description>Uppskot til broytingarløgtingslóg - 5. útgáva -desember 2020</dc:description>
  <cp:lastModifiedBy>Jóannes N. Dalsgaard</cp:lastModifiedBy>
  <cp:revision>4</cp:revision>
  <dcterms:created xsi:type="dcterms:W3CDTF">2023-08-18T12:54:00Z</dcterms:created>
  <dcterms:modified xsi:type="dcterms:W3CDTF">2023-10-23T14:04:00Z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