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E149" w14:textId="050324BF" w:rsidR="00E60021" w:rsidRPr="000A129D" w:rsidRDefault="00E60021" w:rsidP="000A129D">
      <w:pPr>
        <w:spacing w:after="0"/>
        <w:jc w:val="center"/>
        <w:rPr>
          <w:b/>
          <w:sz w:val="32"/>
          <w:szCs w:val="32"/>
          <w:lang w:eastAsia="en-US"/>
        </w:rPr>
      </w:pPr>
      <w:r w:rsidRPr="000A129D">
        <w:rPr>
          <w:noProof/>
        </w:rPr>
        <w:drawing>
          <wp:anchor distT="0" distB="0" distL="114300" distR="114300" simplePos="0" relativeHeight="251659264" behindDoc="0" locked="0" layoutInCell="1" allowOverlap="1" wp14:anchorId="17452097" wp14:editId="52000244">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D367FF">
        <w:rPr>
          <w:b/>
          <w:sz w:val="32"/>
          <w:szCs w:val="32"/>
        </w:rPr>
        <w:t>Uttanríkis- og vinnumálaráðið</w:t>
      </w:r>
    </w:p>
    <w:p w14:paraId="7259A973" w14:textId="77777777" w:rsidR="00E60021" w:rsidRPr="000A129D" w:rsidRDefault="00E60021" w:rsidP="000A129D">
      <w:pPr>
        <w:spacing w:after="0"/>
        <w:rPr>
          <w:rStyle w:val="TypografiFed"/>
          <w:szCs w:val="22"/>
        </w:rPr>
      </w:pPr>
    </w:p>
    <w:p w14:paraId="74C68B3F" w14:textId="77777777" w:rsidR="00E60021" w:rsidRPr="000A129D" w:rsidRDefault="00E60021" w:rsidP="0092126D">
      <w:pPr>
        <w:spacing w:after="0"/>
        <w:rPr>
          <w:rStyle w:val="TypografiFed"/>
        </w:rPr>
      </w:pPr>
    </w:p>
    <w:tbl>
      <w:tblPr>
        <w:tblW w:w="0" w:type="auto"/>
        <w:jc w:val="right"/>
        <w:tblLook w:val="04A0" w:firstRow="1" w:lastRow="0" w:firstColumn="1" w:lastColumn="0" w:noHBand="0" w:noVBand="1"/>
      </w:tblPr>
      <w:tblGrid>
        <w:gridCol w:w="1710"/>
        <w:gridCol w:w="1629"/>
      </w:tblGrid>
      <w:tr w:rsidR="00997DB1" w14:paraId="7089E789" w14:textId="77777777" w:rsidTr="00F53AFF">
        <w:trPr>
          <w:trHeight w:val="344"/>
          <w:jc w:val="right"/>
        </w:trPr>
        <w:tc>
          <w:tcPr>
            <w:tcW w:w="1710" w:type="dxa"/>
            <w:hideMark/>
          </w:tcPr>
          <w:p w14:paraId="7FD8F46E" w14:textId="77777777" w:rsidR="00997DB1" w:rsidRDefault="00997DB1">
            <w:pPr>
              <w:spacing w:after="0"/>
            </w:pPr>
            <w:r>
              <w:t>Dagfesting:</w:t>
            </w:r>
            <w:r>
              <w:rPr>
                <w:noProof/>
              </w:rPr>
              <w:t xml:space="preserve"> </w:t>
            </w:r>
          </w:p>
        </w:tc>
        <w:tc>
          <w:tcPr>
            <w:tcW w:w="1629" w:type="dxa"/>
            <w:hideMark/>
          </w:tcPr>
          <w:p w14:paraId="41262C9A" w14:textId="0572963B" w:rsidR="00997DB1" w:rsidRDefault="0086423E">
            <w:pPr>
              <w:tabs>
                <w:tab w:val="center" w:pos="4513"/>
                <w:tab w:val="right" w:pos="9026"/>
              </w:tabs>
              <w:spacing w:after="0"/>
            </w:pPr>
            <w:r>
              <w:t>7</w:t>
            </w:r>
            <w:r w:rsidR="002A3D77">
              <w:t xml:space="preserve">. </w:t>
            </w:r>
            <w:r w:rsidR="004A1C27">
              <w:t>mars</w:t>
            </w:r>
            <w:r w:rsidR="002A3D77">
              <w:t xml:space="preserve"> </w:t>
            </w:r>
            <w:r w:rsidR="00626A7D">
              <w:t>2023</w:t>
            </w:r>
          </w:p>
        </w:tc>
      </w:tr>
      <w:tr w:rsidR="00997DB1" w14:paraId="013D6E86" w14:textId="77777777" w:rsidTr="00F53AFF">
        <w:trPr>
          <w:trHeight w:val="361"/>
          <w:jc w:val="right"/>
        </w:trPr>
        <w:tc>
          <w:tcPr>
            <w:tcW w:w="1710" w:type="dxa"/>
            <w:hideMark/>
          </w:tcPr>
          <w:p w14:paraId="75845991" w14:textId="77777777" w:rsidR="00997DB1" w:rsidRDefault="00997DB1">
            <w:pPr>
              <w:spacing w:after="0"/>
            </w:pPr>
            <w:r>
              <w:t>Mál nr.:</w:t>
            </w:r>
          </w:p>
        </w:tc>
        <w:tc>
          <w:tcPr>
            <w:tcW w:w="1629" w:type="dxa"/>
            <w:hideMark/>
          </w:tcPr>
          <w:p w14:paraId="716D17F8" w14:textId="53C0815E" w:rsidR="00997DB1" w:rsidRDefault="00626A7D">
            <w:pPr>
              <w:tabs>
                <w:tab w:val="center" w:pos="4513"/>
                <w:tab w:val="right" w:pos="9026"/>
              </w:tabs>
              <w:spacing w:after="0"/>
            </w:pPr>
            <w:r>
              <w:t>23/01048</w:t>
            </w:r>
          </w:p>
        </w:tc>
      </w:tr>
      <w:tr w:rsidR="00997DB1" w14:paraId="5DCF6DD6" w14:textId="77777777" w:rsidTr="00F53AFF">
        <w:trPr>
          <w:trHeight w:val="344"/>
          <w:jc w:val="right"/>
        </w:trPr>
        <w:tc>
          <w:tcPr>
            <w:tcW w:w="1710" w:type="dxa"/>
            <w:hideMark/>
          </w:tcPr>
          <w:p w14:paraId="2CC5ADAC" w14:textId="77777777" w:rsidR="00997DB1" w:rsidRDefault="00997DB1">
            <w:pPr>
              <w:spacing w:after="0"/>
            </w:pPr>
            <w:r>
              <w:t>Málsviðgjørt:</w:t>
            </w:r>
          </w:p>
        </w:tc>
        <w:tc>
          <w:tcPr>
            <w:tcW w:w="1629" w:type="dxa"/>
            <w:hideMark/>
          </w:tcPr>
          <w:p w14:paraId="36A472A8" w14:textId="6885ABFC" w:rsidR="00997DB1" w:rsidRDefault="00321BBF">
            <w:pPr>
              <w:tabs>
                <w:tab w:val="center" w:pos="4513"/>
                <w:tab w:val="right" w:pos="9026"/>
              </w:tabs>
              <w:spacing w:after="0"/>
            </w:pPr>
            <w:r>
              <w:t>JPP/RNA</w:t>
            </w:r>
          </w:p>
        </w:tc>
      </w:tr>
      <w:tr w:rsidR="00997DB1" w14:paraId="28C62CC4" w14:textId="77777777" w:rsidTr="00F53AFF">
        <w:trPr>
          <w:trHeight w:val="344"/>
          <w:jc w:val="right"/>
        </w:trPr>
        <w:tc>
          <w:tcPr>
            <w:tcW w:w="1710" w:type="dxa"/>
            <w:hideMark/>
          </w:tcPr>
          <w:p w14:paraId="79B581F5" w14:textId="77777777" w:rsidR="00997DB1" w:rsidRDefault="00997DB1">
            <w:pPr>
              <w:spacing w:after="0"/>
            </w:pPr>
            <w:r>
              <w:t>Ummælis</w:t>
            </w:r>
            <w:r w:rsidR="007F6BA3">
              <w:t>tíð</w:t>
            </w:r>
            <w:r>
              <w:t>:</w:t>
            </w:r>
          </w:p>
        </w:tc>
        <w:tc>
          <w:tcPr>
            <w:tcW w:w="1629" w:type="dxa"/>
            <w:hideMark/>
          </w:tcPr>
          <w:p w14:paraId="43477E54" w14:textId="77777777" w:rsidR="00997DB1" w:rsidRDefault="00997DB1">
            <w:pPr>
              <w:tabs>
                <w:tab w:val="center" w:pos="4513"/>
                <w:tab w:val="right" w:pos="9026"/>
              </w:tabs>
              <w:spacing w:after="0"/>
            </w:pPr>
            <w:r>
              <w:t xml:space="preserve">Skrivið </w:t>
            </w:r>
            <w:r w:rsidR="00114E89">
              <w:t>frá/til</w:t>
            </w:r>
          </w:p>
        </w:tc>
      </w:tr>
      <w:tr w:rsidR="00997DB1" w14:paraId="5A799CC2" w14:textId="77777777" w:rsidTr="00F53AFF">
        <w:trPr>
          <w:trHeight w:val="565"/>
          <w:jc w:val="right"/>
        </w:trPr>
        <w:tc>
          <w:tcPr>
            <w:tcW w:w="1710" w:type="dxa"/>
            <w:hideMark/>
          </w:tcPr>
          <w:p w14:paraId="55B02348" w14:textId="77777777" w:rsidR="00997DB1" w:rsidRDefault="00997DB1">
            <w:pPr>
              <w:spacing w:after="0"/>
            </w:pPr>
            <w:r>
              <w:t>Eftirkannað:</w:t>
            </w:r>
          </w:p>
        </w:tc>
        <w:tc>
          <w:tcPr>
            <w:tcW w:w="1629" w:type="dxa"/>
            <w:hideMark/>
          </w:tcPr>
          <w:p w14:paraId="61467751" w14:textId="77777777" w:rsidR="00997DB1" w:rsidRDefault="00997DB1">
            <w:pPr>
              <w:tabs>
                <w:tab w:val="center" w:pos="4513"/>
                <w:tab w:val="right" w:pos="9026"/>
              </w:tabs>
              <w:spacing w:after="0"/>
            </w:pPr>
            <w:r>
              <w:t>Lógartænastan</w:t>
            </w:r>
          </w:p>
          <w:p w14:paraId="675C496C" w14:textId="77777777" w:rsidR="00997DB1" w:rsidRDefault="00997DB1">
            <w:pPr>
              <w:tabs>
                <w:tab w:val="center" w:pos="4513"/>
                <w:tab w:val="right" w:pos="9026"/>
              </w:tabs>
              <w:spacing w:after="0"/>
            </w:pPr>
            <w:r>
              <w:t xml:space="preserve">dagfestir </w:t>
            </w:r>
          </w:p>
        </w:tc>
      </w:tr>
    </w:tbl>
    <w:p w14:paraId="067FA73B" w14:textId="77777777" w:rsidR="00E60021" w:rsidRPr="000A129D" w:rsidRDefault="00E60021" w:rsidP="000A129D">
      <w:pPr>
        <w:spacing w:after="0"/>
        <w:rPr>
          <w:rFonts w:eastAsiaTheme="minorHAnsi"/>
          <w:lang w:eastAsia="en-US"/>
        </w:rPr>
      </w:pPr>
    </w:p>
    <w:p w14:paraId="6A3F335C" w14:textId="77777777" w:rsidR="00E60021" w:rsidRPr="000A129D" w:rsidRDefault="00E60021" w:rsidP="000A129D">
      <w:pPr>
        <w:spacing w:after="0"/>
        <w:rPr>
          <w:rStyle w:val="TypografiFed"/>
          <w:b w:val="0"/>
          <w:szCs w:val="22"/>
        </w:rPr>
      </w:pPr>
    </w:p>
    <w:p w14:paraId="15A241B7" w14:textId="77777777" w:rsidR="00E60021" w:rsidRDefault="00E60021" w:rsidP="000A129D">
      <w:pPr>
        <w:spacing w:after="0"/>
        <w:rPr>
          <w:rStyle w:val="TypografiFed"/>
        </w:rPr>
      </w:pPr>
    </w:p>
    <w:p w14:paraId="0CBFD589" w14:textId="77777777" w:rsidR="00DF139F" w:rsidRPr="000A129D" w:rsidRDefault="00DF139F" w:rsidP="000A129D">
      <w:pPr>
        <w:spacing w:after="0"/>
        <w:rPr>
          <w:rStyle w:val="TypografiFed"/>
        </w:rPr>
      </w:pPr>
    </w:p>
    <w:p w14:paraId="366FAA42" w14:textId="77777777" w:rsidR="00E60021" w:rsidRPr="000A129D" w:rsidRDefault="00E60021" w:rsidP="000A129D">
      <w:pPr>
        <w:spacing w:after="0"/>
        <w:rPr>
          <w:rStyle w:val="TypografiFed"/>
          <w:b w:val="0"/>
        </w:rPr>
      </w:pPr>
    </w:p>
    <w:p w14:paraId="74E3765F" w14:textId="77777777" w:rsidR="00E60021" w:rsidRPr="00D70150" w:rsidRDefault="00E60021" w:rsidP="000A129D">
      <w:pPr>
        <w:spacing w:after="0"/>
        <w:jc w:val="center"/>
        <w:rPr>
          <w:b/>
          <w:i/>
          <w:iCs/>
        </w:rPr>
      </w:pPr>
      <w:r w:rsidRPr="000A129D">
        <w:rPr>
          <w:b/>
        </w:rPr>
        <w:t>Uppskot til</w:t>
      </w:r>
    </w:p>
    <w:p w14:paraId="554116E4" w14:textId="77777777" w:rsidR="00E60021" w:rsidRPr="000A129D" w:rsidRDefault="00E60021" w:rsidP="000A129D">
      <w:pPr>
        <w:spacing w:after="0"/>
        <w:jc w:val="center"/>
        <w:rPr>
          <w:b/>
        </w:rPr>
      </w:pPr>
    </w:p>
    <w:p w14:paraId="3D1816C0" w14:textId="685EF921" w:rsidR="00E60021" w:rsidRPr="000A129D" w:rsidRDefault="00E60021" w:rsidP="000A129D">
      <w:pPr>
        <w:spacing w:after="0"/>
        <w:jc w:val="center"/>
        <w:rPr>
          <w:b/>
        </w:rPr>
      </w:pPr>
      <w:r w:rsidRPr="000A129D">
        <w:rPr>
          <w:b/>
        </w:rPr>
        <w:t>Løgtingslóg um broyting í løgtingslóg um</w:t>
      </w:r>
      <w:r w:rsidR="00626A7D">
        <w:rPr>
          <w:b/>
        </w:rPr>
        <w:t xml:space="preserve"> loyvisgjald á alivinnu</w:t>
      </w:r>
    </w:p>
    <w:p w14:paraId="602D8922" w14:textId="380048AD" w:rsidR="00E60021" w:rsidRPr="000A129D" w:rsidRDefault="00E60021" w:rsidP="000A129D">
      <w:pPr>
        <w:spacing w:after="0"/>
        <w:jc w:val="center"/>
      </w:pPr>
      <w:r w:rsidRPr="000A129D">
        <w:t>(</w:t>
      </w:r>
      <w:r w:rsidR="00626A7D">
        <w:t>Broytingar í tøkugjaldinum</w:t>
      </w:r>
      <w:r w:rsidRPr="000A129D">
        <w:t>)</w:t>
      </w:r>
    </w:p>
    <w:p w14:paraId="4DF2BED5" w14:textId="77777777" w:rsidR="00E60021" w:rsidRPr="000A129D" w:rsidRDefault="00E60021" w:rsidP="000A129D">
      <w:pPr>
        <w:spacing w:after="0"/>
        <w:jc w:val="center"/>
      </w:pPr>
    </w:p>
    <w:p w14:paraId="748FD747" w14:textId="77777777" w:rsidR="00E60021" w:rsidRPr="000A129D" w:rsidRDefault="00E60021" w:rsidP="000A129D">
      <w:pPr>
        <w:spacing w:after="0"/>
        <w:rPr>
          <w:rStyle w:val="TypografiKursiv"/>
          <w:i w:val="0"/>
          <w:szCs w:val="22"/>
        </w:rPr>
      </w:pPr>
    </w:p>
    <w:p w14:paraId="4D42C032" w14:textId="77777777" w:rsidR="00E60021" w:rsidRPr="000A129D" w:rsidRDefault="00E60021" w:rsidP="000A129D">
      <w:pPr>
        <w:spacing w:after="0"/>
      </w:pPr>
    </w:p>
    <w:p w14:paraId="14D40C51" w14:textId="77777777" w:rsidR="00E60021" w:rsidRPr="000A129D" w:rsidRDefault="00E60021" w:rsidP="000A129D">
      <w:pPr>
        <w:spacing w:after="0"/>
        <w:rPr>
          <w:b/>
        </w:rPr>
        <w:sectPr w:rsidR="00E60021" w:rsidRPr="000A129D" w:rsidSect="00E60021">
          <w:type w:val="continuous"/>
          <w:pgSz w:w="11906" w:h="16838"/>
          <w:pgMar w:top="1440" w:right="1440" w:bottom="1440" w:left="1440" w:header="709" w:footer="709" w:gutter="0"/>
          <w:cols w:space="720"/>
        </w:sectPr>
      </w:pPr>
    </w:p>
    <w:p w14:paraId="25E94436" w14:textId="77777777" w:rsidR="00E60021" w:rsidRPr="008B2636" w:rsidRDefault="00E60021" w:rsidP="00124124">
      <w:pPr>
        <w:spacing w:after="0"/>
        <w:jc w:val="center"/>
        <w:rPr>
          <w:b/>
        </w:rPr>
      </w:pPr>
      <w:r w:rsidRPr="008B2636">
        <w:rPr>
          <w:b/>
        </w:rPr>
        <w:t>§ 1</w:t>
      </w:r>
    </w:p>
    <w:p w14:paraId="00EA9BB8" w14:textId="77777777" w:rsidR="00E60021" w:rsidRPr="000A129D" w:rsidRDefault="00E60021" w:rsidP="000A129D">
      <w:pPr>
        <w:spacing w:after="0"/>
      </w:pPr>
    </w:p>
    <w:p w14:paraId="43649BFD" w14:textId="5C39F6B3" w:rsidR="00E60021" w:rsidRPr="000A129D" w:rsidRDefault="00626A7D" w:rsidP="000A129D">
      <w:pPr>
        <w:spacing w:after="0"/>
      </w:pPr>
      <w:r w:rsidRPr="00626A7D">
        <w:t>Í løgtingslóg nr. 64 frá 15. mai 2014 um  loyvisgjald á alivinnu, sum broytt við løgtingslóg nr. 162 frá 24. desember 2015, løgtingslóg nr. 180 frá 21. desember 2018 og løgtingslóg nr. 159 frá 10. desember 2021, verða gjørdar hesar broytingar</w:t>
      </w:r>
      <w:r w:rsidR="00E60021" w:rsidRPr="000A129D">
        <w:t>:</w:t>
      </w:r>
    </w:p>
    <w:p w14:paraId="05C110F5" w14:textId="77777777" w:rsidR="00E60021" w:rsidRPr="000A129D" w:rsidRDefault="00E60021" w:rsidP="000A129D">
      <w:pPr>
        <w:spacing w:after="0"/>
      </w:pPr>
    </w:p>
    <w:p w14:paraId="6DE5F33B" w14:textId="1421EF37" w:rsidR="00213890" w:rsidRPr="00FA45AD" w:rsidRDefault="001F28F6" w:rsidP="002636AD">
      <w:pPr>
        <w:pStyle w:val="Listeafsnit"/>
        <w:numPr>
          <w:ilvl w:val="0"/>
          <w:numId w:val="1"/>
        </w:numPr>
        <w:spacing w:after="0"/>
      </w:pPr>
      <w:r w:rsidRPr="00FA45AD">
        <w:t xml:space="preserve">§ 2 verður orðað soleiðis: </w:t>
      </w:r>
    </w:p>
    <w:p w14:paraId="12C96698" w14:textId="6B1309F3" w:rsidR="001F28F6" w:rsidRDefault="00A71CCF" w:rsidP="00A71CCF">
      <w:pPr>
        <w:pStyle w:val="Listeafsnit"/>
        <w:spacing w:after="0"/>
        <w:ind w:left="360"/>
      </w:pPr>
      <w:r w:rsidRPr="00FA45AD">
        <w:t>“</w:t>
      </w:r>
      <w:r w:rsidR="002636AD" w:rsidRPr="00FA45AD">
        <w:t>§ 2</w:t>
      </w:r>
      <w:r w:rsidR="00946BB7" w:rsidRPr="00FA45AD">
        <w:t>. Fyritøkur og einstaklingar, sum eru fevnd av § 1, skulu í sambandi</w:t>
      </w:r>
      <w:r w:rsidR="00946BB7" w:rsidRPr="00946BB7">
        <w:t xml:space="preserve"> við tøku av alifiski rinda avgjald til landskassan.</w:t>
      </w:r>
      <w:r w:rsidR="00946BB7">
        <w:t xml:space="preserve"> </w:t>
      </w:r>
    </w:p>
    <w:p w14:paraId="78F1B3AE" w14:textId="77777777" w:rsidR="00946BB7" w:rsidRDefault="00946BB7" w:rsidP="00A71CCF">
      <w:pPr>
        <w:pStyle w:val="Listeafsnit"/>
        <w:spacing w:after="0"/>
        <w:ind w:left="360"/>
      </w:pPr>
      <w:r w:rsidRPr="00A71CCF">
        <w:rPr>
          <w:i/>
          <w:iCs/>
        </w:rPr>
        <w:t>Stk. 2.</w:t>
      </w:r>
      <w:r>
        <w:t xml:space="preserve"> Avgjaldsgrundarlagið er grundað á mánaðarligu tøkuna av alifiski í kruvdari vekt, faldað við miðal altjóða marknaðarprísinum í sama mánaði.</w:t>
      </w:r>
    </w:p>
    <w:p w14:paraId="4622C000" w14:textId="311049E0" w:rsidR="001F28F6" w:rsidRDefault="00946BB7" w:rsidP="00A71CCF">
      <w:pPr>
        <w:pStyle w:val="Listeafsnit"/>
        <w:spacing w:after="0"/>
        <w:ind w:left="360"/>
      </w:pPr>
      <w:r w:rsidRPr="00A71CCF">
        <w:rPr>
          <w:i/>
          <w:iCs/>
        </w:rPr>
        <w:t>Stk. 3.</w:t>
      </w:r>
      <w:r>
        <w:t xml:space="preserve"> Við átekning í fíggjarlógini til inntøkujáttanina í fíggjarárinum verður ásett, hvør altjóða marknaðarprísur verður nýttur.</w:t>
      </w:r>
    </w:p>
    <w:p w14:paraId="58EEE9D8" w14:textId="071ED854" w:rsidR="00946BB7" w:rsidRDefault="00946BB7" w:rsidP="00A71CCF">
      <w:pPr>
        <w:pStyle w:val="Listeafsnit"/>
        <w:spacing w:after="0"/>
        <w:ind w:left="360"/>
      </w:pPr>
      <w:r w:rsidRPr="00A71CCF">
        <w:rPr>
          <w:i/>
          <w:iCs/>
        </w:rPr>
        <w:t>Stk. 4.</w:t>
      </w:r>
      <w:r w:rsidRPr="00946BB7">
        <w:t xml:space="preserve"> Við átekning í fíggjarlógini til inntøkujáttanina í fíggjarárinum verður ásett, hvør framleiðslukostnaður fyri kilo verður </w:t>
      </w:r>
      <w:r w:rsidR="00F90716">
        <w:t>brúktur</w:t>
      </w:r>
      <w:r w:rsidRPr="00946BB7">
        <w:t xml:space="preserve">. Fyri fíggjarárið 2023 verður framleiðslukostnaður </w:t>
      </w:r>
      <w:r w:rsidR="00193356">
        <w:t xml:space="preserve">upp </w:t>
      </w:r>
      <w:r w:rsidRPr="00946BB7">
        <w:t>á 39,15 kr. fyri kilo</w:t>
      </w:r>
      <w:r w:rsidR="00F90716">
        <w:t xml:space="preserve"> brúktur</w:t>
      </w:r>
      <w:r w:rsidRPr="00946BB7">
        <w:t>."</w:t>
      </w:r>
    </w:p>
    <w:p w14:paraId="41046090" w14:textId="77777777" w:rsidR="00946BB7" w:rsidRDefault="00946BB7" w:rsidP="00946BB7">
      <w:pPr>
        <w:spacing w:after="0"/>
      </w:pPr>
    </w:p>
    <w:p w14:paraId="705FBB83" w14:textId="77777777" w:rsidR="001F28F6" w:rsidRDefault="001F28F6" w:rsidP="00213890">
      <w:pPr>
        <w:spacing w:after="0"/>
      </w:pPr>
    </w:p>
    <w:p w14:paraId="0B2AB6B3" w14:textId="2F2871BA" w:rsidR="002636AD" w:rsidRDefault="002636AD" w:rsidP="002636AD">
      <w:pPr>
        <w:pStyle w:val="Listeafsnit"/>
        <w:numPr>
          <w:ilvl w:val="0"/>
          <w:numId w:val="1"/>
        </w:numPr>
        <w:spacing w:after="0"/>
      </w:pPr>
      <w:r>
        <w:t xml:space="preserve">Aftaná § 2 verður sett: </w:t>
      </w:r>
    </w:p>
    <w:p w14:paraId="367D8E54" w14:textId="61D938F2" w:rsidR="002D404F" w:rsidRDefault="002636AD" w:rsidP="002636AD">
      <w:pPr>
        <w:pStyle w:val="Listeafsnit"/>
        <w:spacing w:after="0"/>
        <w:ind w:left="360"/>
      </w:pPr>
      <w:r>
        <w:t>“</w:t>
      </w:r>
      <w:r w:rsidRPr="002636AD">
        <w:rPr>
          <w:b/>
          <w:bCs/>
        </w:rPr>
        <w:t>§ 2a.</w:t>
      </w:r>
      <w:r w:rsidR="00F90716">
        <w:t xml:space="preserve"> </w:t>
      </w:r>
      <w:r w:rsidR="00213890">
        <w:t>Gjaldið</w:t>
      </w:r>
      <w:r w:rsidR="001F28F6">
        <w:t xml:space="preserve"> eftir § 2</w:t>
      </w:r>
      <w:r w:rsidR="00213890">
        <w:t xml:space="preserve"> verður ásett</w:t>
      </w:r>
      <w:r w:rsidR="002D404F">
        <w:t xml:space="preserve"> sum ásett í skjali 1. </w:t>
      </w:r>
    </w:p>
    <w:p w14:paraId="1661AF2F" w14:textId="3B7D4CF9" w:rsidR="00676928" w:rsidRDefault="00676928" w:rsidP="00676928">
      <w:pPr>
        <w:pStyle w:val="Listeafsnit"/>
        <w:spacing w:after="0"/>
        <w:ind w:left="360"/>
      </w:pPr>
      <w:r w:rsidRPr="00676928">
        <w:rPr>
          <w:i/>
          <w:iCs/>
        </w:rPr>
        <w:t>Stk. 2.</w:t>
      </w:r>
      <w:r>
        <w:t xml:space="preserve"> Gjald verður ikki rindað av tøku, ið landsdjóralæknin hevur álagt alara at fremja, og sum ikki kann seljast </w:t>
      </w:r>
      <w:r w:rsidR="00367CB2">
        <w:t>fyri</w:t>
      </w:r>
      <w:r>
        <w:t xml:space="preserve"> marknaðarvirði.</w:t>
      </w:r>
    </w:p>
    <w:p w14:paraId="21368218" w14:textId="0E1FC40F" w:rsidR="00676928" w:rsidRDefault="00676928" w:rsidP="00676928">
      <w:pPr>
        <w:pStyle w:val="Listeafsnit"/>
        <w:spacing w:after="0"/>
        <w:ind w:left="360"/>
      </w:pPr>
      <w:r w:rsidRPr="00676928">
        <w:rPr>
          <w:i/>
          <w:iCs/>
        </w:rPr>
        <w:t>Stk. 3.</w:t>
      </w:r>
      <w:r>
        <w:t xml:space="preserve"> Upplýsingar um mánaðarligu tøkuna av alifiski skulu innan 15. í mánaðinum aftan á tøkuna latast TAKS. Um upplýsingarnar</w:t>
      </w:r>
      <w:r w:rsidR="00006DD8">
        <w:t xml:space="preserve"> </w:t>
      </w:r>
      <w:r>
        <w:t xml:space="preserve">ikki verða latnar TAKS innan ásettu freistina, verður sekt </w:t>
      </w:r>
      <w:r w:rsidR="00006DD8">
        <w:t xml:space="preserve">upp </w:t>
      </w:r>
      <w:r>
        <w:t>á kr. 1.000 løgd afturat tøkugjaldinum fyri avvarðandi mánað.</w:t>
      </w:r>
    </w:p>
    <w:p w14:paraId="66B410C1" w14:textId="36351430" w:rsidR="00E37E3E" w:rsidRDefault="00676928" w:rsidP="00E37E3E">
      <w:pPr>
        <w:pStyle w:val="Listeafsnit"/>
        <w:spacing w:after="0"/>
        <w:ind w:left="360"/>
      </w:pPr>
      <w:r w:rsidRPr="00676928">
        <w:rPr>
          <w:i/>
          <w:iCs/>
        </w:rPr>
        <w:t>Stk. 4.</w:t>
      </w:r>
      <w:r>
        <w:t xml:space="preserve"> Tøkugjaldið fellur til gjaldingar í </w:t>
      </w:r>
      <w:r w:rsidR="00F73BA2">
        <w:t>fýra</w:t>
      </w:r>
      <w:r>
        <w:t xml:space="preserve"> gjøldum ávikavist 1. februar, 1. </w:t>
      </w:r>
      <w:r>
        <w:lastRenderedPageBreak/>
        <w:t xml:space="preserve">mai, 1. august og 1. november við gjaldfreist </w:t>
      </w:r>
      <w:r w:rsidR="00F73BA2">
        <w:t>tann</w:t>
      </w:r>
      <w:r>
        <w:t xml:space="preserve"> 20. í mánaðinum. Verður gjaldið ikki goldið rættstundis, verður renta roknað við 0,7% fyri hvønn byrjaðan mánað frá gjalddegnum.</w:t>
      </w:r>
      <w:r w:rsidR="00E37E3E">
        <w:t>”</w:t>
      </w:r>
    </w:p>
    <w:p w14:paraId="30C69810" w14:textId="77777777" w:rsidR="00E37E3E" w:rsidRDefault="00E37E3E" w:rsidP="00676928">
      <w:pPr>
        <w:pStyle w:val="Listeafsnit"/>
        <w:spacing w:after="0"/>
        <w:ind w:left="360"/>
        <w:rPr>
          <w:i/>
          <w:iCs/>
        </w:rPr>
      </w:pPr>
    </w:p>
    <w:p w14:paraId="097098C0" w14:textId="73EDF195" w:rsidR="00CD4004" w:rsidRDefault="00CD4004" w:rsidP="00CD4004">
      <w:pPr>
        <w:spacing w:after="0"/>
      </w:pPr>
    </w:p>
    <w:p w14:paraId="29108252" w14:textId="3D9FCAD5" w:rsidR="00E37E3E" w:rsidRDefault="00E37E3E" w:rsidP="00E37E3E">
      <w:pPr>
        <w:pStyle w:val="Listeafsnit"/>
        <w:numPr>
          <w:ilvl w:val="0"/>
          <w:numId w:val="1"/>
        </w:numPr>
        <w:spacing w:after="0"/>
      </w:pPr>
      <w:r>
        <w:t xml:space="preserve">Aftaná § 2a verður sett: </w:t>
      </w:r>
    </w:p>
    <w:p w14:paraId="5A1CA8F6" w14:textId="70B88758" w:rsidR="00E37E3E" w:rsidRDefault="00E37E3E" w:rsidP="00E37E3E">
      <w:pPr>
        <w:pStyle w:val="Listeafsnit"/>
        <w:spacing w:after="0"/>
        <w:ind w:left="360"/>
      </w:pPr>
      <w:r>
        <w:t>“</w:t>
      </w:r>
      <w:r w:rsidRPr="002636AD">
        <w:rPr>
          <w:b/>
          <w:bCs/>
        </w:rPr>
        <w:t>§ 2</w:t>
      </w:r>
      <w:r>
        <w:rPr>
          <w:b/>
          <w:bCs/>
        </w:rPr>
        <w:t>b.</w:t>
      </w:r>
      <w:r w:rsidR="009332A1">
        <w:rPr>
          <w:b/>
          <w:bCs/>
        </w:rPr>
        <w:t xml:space="preserve"> </w:t>
      </w:r>
      <w:r w:rsidR="009332A1" w:rsidRPr="003F2FE4">
        <w:t>Upp til</w:t>
      </w:r>
      <w:r>
        <w:t xml:space="preserve"> </w:t>
      </w:r>
      <w:r w:rsidR="00FA479C">
        <w:t>1</w:t>
      </w:r>
      <w:r>
        <w:t>0% av inntøkunum frá gjaldinum f</w:t>
      </w:r>
      <w:r w:rsidR="00FA479C">
        <w:t>a</w:t>
      </w:r>
      <w:r>
        <w:t>ll</w:t>
      </w:r>
      <w:r w:rsidR="00FA479C">
        <w:t>a</w:t>
      </w:r>
      <w:r>
        <w:t xml:space="preserve"> til kommunu</w:t>
      </w:r>
      <w:r w:rsidR="00193356">
        <w:t>r</w:t>
      </w:r>
      <w:r>
        <w:t>nar</w:t>
      </w:r>
      <w:r w:rsidR="009332A1">
        <w:t>,  tó í minsta lagi 25 mió. kr. og í mesta lagi 5</w:t>
      </w:r>
      <w:r w:rsidR="003F2FE4">
        <w:t>0</w:t>
      </w:r>
      <w:r w:rsidR="009332A1">
        <w:t xml:space="preserve"> mió. kr</w:t>
      </w:r>
      <w:r>
        <w:t xml:space="preserve">. </w:t>
      </w:r>
    </w:p>
    <w:p w14:paraId="0E561367" w14:textId="0894DF1B" w:rsidR="002C3005" w:rsidRPr="0075072B" w:rsidRDefault="002C3005" w:rsidP="002C3005">
      <w:pPr>
        <w:pStyle w:val="Listeafsnit"/>
        <w:spacing w:after="0"/>
        <w:ind w:left="360"/>
      </w:pPr>
      <w:r>
        <w:rPr>
          <w:i/>
          <w:iCs/>
        </w:rPr>
        <w:t xml:space="preserve">Stk. 2. </w:t>
      </w:r>
      <w:r w:rsidRPr="00B1081D">
        <w:t xml:space="preserve">Landsstýrismaðurin í fíggjarmálum </w:t>
      </w:r>
      <w:r w:rsidR="00AB17F9">
        <w:t>ásetur í kunngerð, hvussu</w:t>
      </w:r>
      <w:r w:rsidRPr="00B1081D">
        <w:t xml:space="preserve"> inntøkurnar frá gjaldinum verða býttar millum kommunurnar.</w:t>
      </w:r>
    </w:p>
    <w:p w14:paraId="6157121D" w14:textId="77777777" w:rsidR="00CE7E2D" w:rsidRPr="000A129D" w:rsidRDefault="00CE7E2D" w:rsidP="00626A7D">
      <w:pPr>
        <w:pStyle w:val="Listeafsnit"/>
        <w:spacing w:after="0"/>
        <w:ind w:left="360"/>
      </w:pPr>
    </w:p>
    <w:p w14:paraId="13D5D5FA" w14:textId="77777777" w:rsidR="00E60021" w:rsidRPr="000A129D" w:rsidRDefault="00E60021" w:rsidP="000A129D">
      <w:pPr>
        <w:spacing w:after="0"/>
      </w:pPr>
    </w:p>
    <w:p w14:paraId="0D7E98A3" w14:textId="77777777" w:rsidR="00E60021" w:rsidRPr="008B2636" w:rsidRDefault="00E60021" w:rsidP="00006C13">
      <w:pPr>
        <w:spacing w:after="0"/>
        <w:jc w:val="center"/>
        <w:rPr>
          <w:b/>
        </w:rPr>
      </w:pPr>
      <w:r w:rsidRPr="008B2636">
        <w:rPr>
          <w:b/>
        </w:rPr>
        <w:t>§ 2</w:t>
      </w:r>
    </w:p>
    <w:p w14:paraId="4CB25D43" w14:textId="77777777" w:rsidR="00E60021" w:rsidRPr="000A129D" w:rsidRDefault="00E60021" w:rsidP="000A129D">
      <w:pPr>
        <w:spacing w:after="0"/>
      </w:pPr>
    </w:p>
    <w:p w14:paraId="39F17FDA" w14:textId="721E37FC" w:rsidR="00E60021" w:rsidRDefault="00626A7D" w:rsidP="000A129D">
      <w:pPr>
        <w:spacing w:after="0"/>
      </w:pPr>
      <w:r w:rsidRPr="00626A7D">
        <w:t xml:space="preserve">Henda løgtingslóg kemur í gildi 1. </w:t>
      </w:r>
      <w:r>
        <w:t>august</w:t>
      </w:r>
      <w:r w:rsidRPr="00626A7D">
        <w:t xml:space="preserve">  2023</w:t>
      </w:r>
      <w:r w:rsidR="00215843">
        <w:t>, sbr. tó stk. 2.</w:t>
      </w:r>
    </w:p>
    <w:p w14:paraId="7462DDDD" w14:textId="0DA98A52" w:rsidR="00A80D49" w:rsidRDefault="00A80D49" w:rsidP="000A129D">
      <w:pPr>
        <w:spacing w:after="0"/>
      </w:pPr>
      <w:r w:rsidRPr="002C70C8">
        <w:rPr>
          <w:i/>
          <w:iCs/>
        </w:rPr>
        <w:t>Stk. 2.</w:t>
      </w:r>
      <w:r>
        <w:t xml:space="preserve"> § 2b</w:t>
      </w:r>
      <w:r w:rsidR="00DB5A6C">
        <w:t>, stk. 1-</w:t>
      </w:r>
      <w:r w:rsidR="00E522D8">
        <w:t>2</w:t>
      </w:r>
      <w:r w:rsidR="00C1018B">
        <w:t>,</w:t>
      </w:r>
      <w:r w:rsidR="00DB5A6C">
        <w:t xml:space="preserve"> </w:t>
      </w:r>
      <w:r w:rsidR="002C3005">
        <w:t>verð</w:t>
      </w:r>
      <w:r w:rsidR="00DC4DC1">
        <w:t>ur</w:t>
      </w:r>
      <w:r w:rsidR="002C3005">
        <w:t xml:space="preserve"> sett</w:t>
      </w:r>
      <w:r>
        <w:t xml:space="preserve"> í gildi 1. januar 2024.</w:t>
      </w:r>
    </w:p>
    <w:p w14:paraId="212D182E" w14:textId="35BB7ACD" w:rsidR="00A80D49" w:rsidRPr="000A129D" w:rsidRDefault="00A80D49" w:rsidP="000A129D">
      <w:pPr>
        <w:spacing w:after="0"/>
        <w:rPr>
          <w:b/>
        </w:rPr>
        <w:sectPr w:rsidR="00A80D49" w:rsidRPr="000A129D">
          <w:type w:val="continuous"/>
          <w:pgSz w:w="11906" w:h="16838"/>
          <w:pgMar w:top="1440" w:right="1440" w:bottom="1440" w:left="1440" w:header="709" w:footer="709" w:gutter="0"/>
          <w:cols w:num="2" w:space="708"/>
        </w:sectPr>
      </w:pPr>
    </w:p>
    <w:p w14:paraId="5A055B93" w14:textId="77777777" w:rsidR="00E60021" w:rsidRPr="000A129D" w:rsidRDefault="00E60021" w:rsidP="000A129D">
      <w:pPr>
        <w:spacing w:after="0"/>
      </w:pPr>
    </w:p>
    <w:p w14:paraId="1A96FF74" w14:textId="77777777" w:rsidR="00E60021" w:rsidRPr="000A129D" w:rsidRDefault="00E60021" w:rsidP="000A129D">
      <w:pPr>
        <w:spacing w:after="0"/>
      </w:pPr>
    </w:p>
    <w:p w14:paraId="2DD2D1F2" w14:textId="77777777" w:rsidR="00E60021" w:rsidRPr="000A129D" w:rsidRDefault="00E60021" w:rsidP="000A129D">
      <w:pPr>
        <w:spacing w:after="0"/>
        <w:rPr>
          <w:b/>
        </w:rPr>
        <w:sectPr w:rsidR="00E60021" w:rsidRPr="000A129D">
          <w:type w:val="continuous"/>
          <w:pgSz w:w="11906" w:h="16838"/>
          <w:pgMar w:top="1440" w:right="1440" w:bottom="1440" w:left="1440" w:header="709" w:footer="709" w:gutter="0"/>
          <w:cols w:space="720"/>
        </w:sectPr>
      </w:pPr>
    </w:p>
    <w:p w14:paraId="0BCCEB5D" w14:textId="77777777" w:rsidR="000A129D" w:rsidRDefault="000A129D" w:rsidP="000A129D">
      <w:pPr>
        <w:spacing w:after="0"/>
        <w:jc w:val="both"/>
        <w:rPr>
          <w:b/>
        </w:rPr>
      </w:pPr>
    </w:p>
    <w:p w14:paraId="4F6DF5F9" w14:textId="77777777" w:rsidR="000A129D" w:rsidRDefault="000A129D" w:rsidP="000A129D">
      <w:pPr>
        <w:spacing w:after="0"/>
        <w:jc w:val="both"/>
        <w:rPr>
          <w:b/>
        </w:rPr>
      </w:pPr>
    </w:p>
    <w:p w14:paraId="48822B39" w14:textId="77777777" w:rsidR="000A129D" w:rsidRDefault="000A129D" w:rsidP="000A129D">
      <w:pPr>
        <w:spacing w:after="0"/>
        <w:jc w:val="both"/>
        <w:rPr>
          <w:b/>
        </w:rPr>
      </w:pPr>
    </w:p>
    <w:p w14:paraId="44C0F469" w14:textId="77777777" w:rsidR="000A129D" w:rsidRDefault="000A129D" w:rsidP="000A129D">
      <w:pPr>
        <w:spacing w:after="0"/>
        <w:jc w:val="both"/>
        <w:rPr>
          <w:b/>
        </w:rPr>
      </w:pPr>
    </w:p>
    <w:p w14:paraId="396D3DA8" w14:textId="77777777" w:rsidR="000A129D" w:rsidRDefault="000A129D" w:rsidP="000A129D">
      <w:pPr>
        <w:spacing w:after="0"/>
        <w:jc w:val="both"/>
        <w:rPr>
          <w:b/>
        </w:rPr>
      </w:pPr>
    </w:p>
    <w:p w14:paraId="2EE323E2" w14:textId="77777777" w:rsidR="000A129D" w:rsidRDefault="000A129D" w:rsidP="000A129D">
      <w:pPr>
        <w:spacing w:after="0"/>
        <w:jc w:val="both"/>
        <w:rPr>
          <w:b/>
        </w:rPr>
      </w:pPr>
    </w:p>
    <w:p w14:paraId="5AE46460" w14:textId="77777777" w:rsidR="000A129D" w:rsidRDefault="000A129D" w:rsidP="000A129D">
      <w:pPr>
        <w:spacing w:after="0"/>
        <w:jc w:val="both"/>
        <w:rPr>
          <w:b/>
        </w:rPr>
      </w:pPr>
    </w:p>
    <w:p w14:paraId="06EB9776" w14:textId="59C292C2" w:rsidR="00114E89" w:rsidRDefault="00114E89" w:rsidP="000A129D">
      <w:pPr>
        <w:spacing w:after="0"/>
        <w:jc w:val="both"/>
        <w:rPr>
          <w:b/>
        </w:rPr>
      </w:pPr>
    </w:p>
    <w:p w14:paraId="1885071A" w14:textId="77777777" w:rsidR="00C32A0D" w:rsidRDefault="00C32A0D" w:rsidP="000A129D">
      <w:pPr>
        <w:spacing w:after="0"/>
        <w:jc w:val="both"/>
        <w:rPr>
          <w:b/>
        </w:rPr>
      </w:pPr>
    </w:p>
    <w:p w14:paraId="171E4284" w14:textId="77777777" w:rsidR="00114E89" w:rsidRDefault="00114E89" w:rsidP="000A129D">
      <w:pPr>
        <w:spacing w:after="0"/>
        <w:jc w:val="both"/>
        <w:rPr>
          <w:b/>
        </w:rPr>
      </w:pPr>
    </w:p>
    <w:p w14:paraId="7EEA81B7" w14:textId="77777777" w:rsidR="0092126D" w:rsidRDefault="0092126D" w:rsidP="000A129D">
      <w:pPr>
        <w:spacing w:after="0"/>
        <w:jc w:val="both"/>
        <w:rPr>
          <w:b/>
        </w:rPr>
      </w:pPr>
    </w:p>
    <w:p w14:paraId="092BB81C" w14:textId="77777777" w:rsidR="004456ED" w:rsidRDefault="004456ED">
      <w:pPr>
        <w:spacing w:after="0"/>
        <w:rPr>
          <w:b/>
        </w:rPr>
      </w:pPr>
      <w:r>
        <w:rPr>
          <w:b/>
        </w:rPr>
        <w:br w:type="page"/>
      </w:r>
    </w:p>
    <w:p w14:paraId="7D66F996" w14:textId="77777777" w:rsidR="004456ED" w:rsidRDefault="004456ED" w:rsidP="004456ED">
      <w:pPr>
        <w:spacing w:after="0"/>
        <w:jc w:val="right"/>
        <w:rPr>
          <w:b/>
        </w:rPr>
      </w:pPr>
      <w:r>
        <w:rPr>
          <w:b/>
        </w:rPr>
        <w:lastRenderedPageBreak/>
        <w:t xml:space="preserve"> Skjal 1</w:t>
      </w:r>
    </w:p>
    <w:p w14:paraId="7BE407DB" w14:textId="77777777" w:rsidR="004456ED" w:rsidRDefault="004456ED" w:rsidP="004456ED">
      <w:pPr>
        <w:spacing w:after="0"/>
        <w:jc w:val="right"/>
        <w:rPr>
          <w:b/>
        </w:rPr>
      </w:pPr>
    </w:p>
    <w:p w14:paraId="7ADC7517" w14:textId="77777777" w:rsidR="00253533" w:rsidRDefault="004456ED" w:rsidP="004456ED">
      <w:pPr>
        <w:spacing w:after="0"/>
        <w:jc w:val="right"/>
        <w:rPr>
          <w:b/>
        </w:rPr>
      </w:pPr>
      <w:r>
        <w:rPr>
          <w:b/>
        </w:rPr>
        <w:t>“Skjal 1</w:t>
      </w:r>
    </w:p>
    <w:p w14:paraId="27CB7339" w14:textId="3EAA4DD5" w:rsidR="0025545D" w:rsidRDefault="0051203A" w:rsidP="00C765C3">
      <w:pPr>
        <w:spacing w:after="0"/>
        <w:rPr>
          <w:b/>
        </w:rPr>
      </w:pPr>
      <w:r>
        <w:rPr>
          <w:b/>
        </w:rPr>
        <w:t>Tøkugjald</w:t>
      </w:r>
      <w:r w:rsidR="002C0405">
        <w:rPr>
          <w:b/>
        </w:rPr>
        <w:t>s</w:t>
      </w:r>
      <w:r>
        <w:rPr>
          <w:b/>
        </w:rPr>
        <w:t>stigi</w:t>
      </w:r>
      <w:r w:rsidR="00EE3ED7">
        <w:rPr>
          <w:b/>
        </w:rPr>
        <w:t>n</w:t>
      </w:r>
      <w:r>
        <w:rPr>
          <w:b/>
        </w:rPr>
        <w:t>, ið vísir, hv</w:t>
      </w:r>
      <w:r w:rsidR="002C0405">
        <w:rPr>
          <w:b/>
        </w:rPr>
        <w:t>ussu</w:t>
      </w:r>
      <w:r>
        <w:rPr>
          <w:b/>
        </w:rPr>
        <w:t xml:space="preserve"> gjaldið er treyta</w:t>
      </w:r>
      <w:r w:rsidR="002C0405">
        <w:rPr>
          <w:b/>
        </w:rPr>
        <w:t>ð</w:t>
      </w:r>
      <w:r>
        <w:rPr>
          <w:b/>
        </w:rPr>
        <w:t xml:space="preserve"> av marknaðarprísi</w:t>
      </w:r>
      <w:r w:rsidR="0025455A">
        <w:rPr>
          <w:b/>
        </w:rPr>
        <w:t>num</w:t>
      </w:r>
    </w:p>
    <w:p w14:paraId="5AC0156E" w14:textId="77777777" w:rsidR="0025545D" w:rsidRDefault="0025545D" w:rsidP="00253533">
      <w:pPr>
        <w:spacing w:after="0"/>
        <w:jc w:val="center"/>
        <w:rPr>
          <w:b/>
        </w:rPr>
      </w:pPr>
    </w:p>
    <w:p w14:paraId="06B61045" w14:textId="0A720A19" w:rsidR="002F4858" w:rsidRDefault="002F4858" w:rsidP="0083484B">
      <w:pPr>
        <w:pStyle w:val="Listeafsnit"/>
        <w:spacing w:after="0"/>
        <w:ind w:left="0"/>
        <w:jc w:val="both"/>
      </w:pPr>
      <w:bookmarkStart w:id="0" w:name="_Hlk126660327"/>
      <w:r>
        <w:t xml:space="preserve">Gjaldið verður ásett soleiðis: </w:t>
      </w:r>
    </w:p>
    <w:p w14:paraId="5CDF6A92" w14:textId="77777777" w:rsidR="002F4858" w:rsidRDefault="002F4858" w:rsidP="002F4858">
      <w:pPr>
        <w:pStyle w:val="Listeafsnit"/>
        <w:spacing w:after="0"/>
        <w:ind w:left="360"/>
      </w:pPr>
    </w:p>
    <w:p w14:paraId="7013A030" w14:textId="3335B8F5" w:rsidR="007E0EA8" w:rsidRPr="00F92CF9" w:rsidRDefault="007E0EA8" w:rsidP="007E0EA8">
      <w:r>
        <w:t>P</w:t>
      </w:r>
      <w:r w:rsidR="00E53A49">
        <w:t xml:space="preserve"> </w:t>
      </w:r>
      <w:r>
        <w:t xml:space="preserve">= </w:t>
      </w:r>
      <w:r w:rsidR="00E848B0">
        <w:t xml:space="preserve"> miðal </w:t>
      </w:r>
      <w:r>
        <w:t xml:space="preserve">altjóða </w:t>
      </w:r>
      <w:r w:rsidRPr="00F92CF9">
        <w:t>marknaðarprísur í DKK pr. kg.</w:t>
      </w:r>
    </w:p>
    <w:p w14:paraId="3BF5504B" w14:textId="4AA86C8D" w:rsidR="007E0EA8" w:rsidRPr="00F92CF9" w:rsidRDefault="007E0EA8" w:rsidP="007E0EA8">
      <w:r w:rsidRPr="00F92CF9">
        <w:t>K</w:t>
      </w:r>
      <w:r w:rsidR="00E53A49" w:rsidRPr="00F92CF9">
        <w:t xml:space="preserve"> </w:t>
      </w:r>
      <w:r w:rsidRPr="00F92CF9">
        <w:t xml:space="preserve">= </w:t>
      </w:r>
      <w:r w:rsidR="008D3E4F" w:rsidRPr="00F92CF9">
        <w:t xml:space="preserve">miðal </w:t>
      </w:r>
      <w:r w:rsidRPr="00F92CF9">
        <w:t>framleiðslukostnaður í DKK pr. kg.</w:t>
      </w:r>
    </w:p>
    <w:p w14:paraId="4D1614A7" w14:textId="77777777" w:rsidR="007E0EA8" w:rsidRPr="00F92CF9" w:rsidRDefault="007E0EA8" w:rsidP="007E0EA8">
      <w:pPr>
        <w:pStyle w:val="Listeafsnit"/>
        <w:spacing w:after="0"/>
        <w:ind w:left="360"/>
      </w:pPr>
    </w:p>
    <w:bookmarkEnd w:id="0"/>
    <w:p w14:paraId="5298D52F" w14:textId="44845538" w:rsidR="0060489C" w:rsidRDefault="0060489C" w:rsidP="0060489C">
      <w:pPr>
        <w:pStyle w:val="Listeafsnit"/>
        <w:numPr>
          <w:ilvl w:val="0"/>
          <w:numId w:val="15"/>
        </w:numPr>
      </w:pPr>
      <w:r>
        <w:t>Er P minni enn K, er gjaldið 0,5%.</w:t>
      </w:r>
    </w:p>
    <w:p w14:paraId="4C3751D4" w14:textId="0519C38F" w:rsidR="0060489C" w:rsidRDefault="0060489C" w:rsidP="0060489C">
      <w:pPr>
        <w:pStyle w:val="Listeafsnit"/>
        <w:numPr>
          <w:ilvl w:val="0"/>
          <w:numId w:val="15"/>
        </w:numPr>
      </w:pPr>
      <w:r>
        <w:t>Er P hægri enn ella hin sami sum K, men minni enn K pluss 5 kr., er gjaldið 2,5%.</w:t>
      </w:r>
    </w:p>
    <w:p w14:paraId="014AFF1F" w14:textId="0821DBBA" w:rsidR="0060489C" w:rsidRDefault="0060489C" w:rsidP="0060489C">
      <w:pPr>
        <w:pStyle w:val="Listeafsnit"/>
        <w:numPr>
          <w:ilvl w:val="0"/>
          <w:numId w:val="15"/>
        </w:numPr>
      </w:pPr>
      <w:r>
        <w:t xml:space="preserve">Er P hægri enn ella hin sami sum K pluss 5 kr., men minni enn K pluss 15 kr., er gjaldið 5,0%. </w:t>
      </w:r>
    </w:p>
    <w:p w14:paraId="3529F838" w14:textId="42B4511F" w:rsidR="0060489C" w:rsidRDefault="0060489C" w:rsidP="0060489C">
      <w:pPr>
        <w:pStyle w:val="Listeafsnit"/>
        <w:numPr>
          <w:ilvl w:val="0"/>
          <w:numId w:val="15"/>
        </w:numPr>
      </w:pPr>
      <w:r>
        <w:t>Er P hægri enn ella hin sami sum K pluss 15 kr., men minni enn K pluss 20 kr., er gjaldið 7,5%.</w:t>
      </w:r>
    </w:p>
    <w:p w14:paraId="2624396A" w14:textId="76A97E7F" w:rsidR="0060489C" w:rsidRDefault="0060489C" w:rsidP="0060489C">
      <w:pPr>
        <w:pStyle w:val="Listeafsnit"/>
        <w:numPr>
          <w:ilvl w:val="0"/>
          <w:numId w:val="15"/>
        </w:numPr>
      </w:pPr>
      <w:r>
        <w:t>Er P hægri enn ella hin sami sum K pluss 20 kr., men minni enn K pluss 25 kr., er gjaldið 10,0%.</w:t>
      </w:r>
    </w:p>
    <w:p w14:paraId="56BB57E8" w14:textId="02D09658" w:rsidR="0060489C" w:rsidRDefault="0060489C" w:rsidP="0060489C">
      <w:pPr>
        <w:pStyle w:val="Listeafsnit"/>
        <w:numPr>
          <w:ilvl w:val="0"/>
          <w:numId w:val="15"/>
        </w:numPr>
      </w:pPr>
      <w:r>
        <w:t>Er P hægri enn ella hin sami sum K pluss 25 kr., men minni enn K pluss 30 kr., er gjaldið 12,5%</w:t>
      </w:r>
    </w:p>
    <w:p w14:paraId="6C2850E8" w14:textId="691D0B33" w:rsidR="0060489C" w:rsidRDefault="0060489C" w:rsidP="0060489C">
      <w:pPr>
        <w:pStyle w:val="Listeafsnit"/>
        <w:numPr>
          <w:ilvl w:val="0"/>
          <w:numId w:val="15"/>
        </w:numPr>
      </w:pPr>
      <w:r>
        <w:t>Er P hægri enn ella hin sami sum K pluss 30 kr., men minni enn K pluss 35 kr., er gjaldið 15,0%</w:t>
      </w:r>
    </w:p>
    <w:p w14:paraId="61B4D2E9" w14:textId="2D076FF9" w:rsidR="0060489C" w:rsidRDefault="0060489C" w:rsidP="0060489C">
      <w:pPr>
        <w:pStyle w:val="Listeafsnit"/>
        <w:numPr>
          <w:ilvl w:val="0"/>
          <w:numId w:val="15"/>
        </w:numPr>
      </w:pPr>
      <w:r>
        <w:t>Er P hægri enn ella hin sami sum K pluss 35 kr., men minni enn K pluss 40 kr., er gjaldið 17,5%</w:t>
      </w:r>
    </w:p>
    <w:p w14:paraId="6419CFCD" w14:textId="3BDAD642" w:rsidR="00752BE1" w:rsidRDefault="0060489C" w:rsidP="0060489C">
      <w:pPr>
        <w:pStyle w:val="Listeafsnit"/>
        <w:numPr>
          <w:ilvl w:val="0"/>
          <w:numId w:val="15"/>
        </w:numPr>
      </w:pPr>
      <w:r>
        <w:t>Er P hægri enn ella hin sami sum K pluss 40 kr., er gjaldið 20,0%.</w:t>
      </w:r>
    </w:p>
    <w:p w14:paraId="555A85DB" w14:textId="77777777" w:rsidR="0060489C" w:rsidRPr="00F92CF9" w:rsidRDefault="0060489C" w:rsidP="0060489C"/>
    <w:p w14:paraId="10DB8B3D" w14:textId="59A44212" w:rsidR="00EC34B3" w:rsidRPr="00F92CF9" w:rsidRDefault="00EC34B3" w:rsidP="0025545D">
      <w:pPr>
        <w:rPr>
          <w:b/>
          <w:bCs/>
        </w:rPr>
      </w:pPr>
      <w:r w:rsidRPr="00F92CF9">
        <w:rPr>
          <w:b/>
          <w:bCs/>
        </w:rPr>
        <w:t>Talva 1</w:t>
      </w:r>
    </w:p>
    <w:tbl>
      <w:tblPr>
        <w:tblStyle w:val="Tabel-Gitter"/>
        <w:tblW w:w="5000" w:type="pct"/>
        <w:tblInd w:w="0" w:type="dxa"/>
        <w:tblLook w:val="04A0" w:firstRow="1" w:lastRow="0" w:firstColumn="1" w:lastColumn="0" w:noHBand="0" w:noVBand="1"/>
      </w:tblPr>
      <w:tblGrid>
        <w:gridCol w:w="6028"/>
        <w:gridCol w:w="2988"/>
      </w:tblGrid>
      <w:tr w:rsidR="0060489C" w:rsidRPr="0060489C" w14:paraId="27FB9B19" w14:textId="77777777" w:rsidTr="006A1262">
        <w:trPr>
          <w:trHeight w:val="300"/>
        </w:trPr>
        <w:tc>
          <w:tcPr>
            <w:tcW w:w="3343" w:type="pct"/>
            <w:noWrap/>
            <w:hideMark/>
          </w:tcPr>
          <w:p w14:paraId="6A4E911D" w14:textId="77777777" w:rsidR="0060489C" w:rsidRPr="0060489C" w:rsidRDefault="0060489C" w:rsidP="0060489C">
            <w:pPr>
              <w:rPr>
                <w:rFonts w:ascii="Times New Roman" w:eastAsia="Calibri" w:hAnsi="Times New Roman" w:cs="Times New Roman"/>
                <w:b/>
                <w:bCs/>
              </w:rPr>
            </w:pPr>
            <w:r w:rsidRPr="0060489C">
              <w:rPr>
                <w:rFonts w:ascii="Times New Roman" w:eastAsia="Calibri" w:hAnsi="Times New Roman" w:cs="Times New Roman"/>
                <w:b/>
                <w:bCs/>
              </w:rPr>
              <w:t xml:space="preserve">Prísur </w:t>
            </w:r>
          </w:p>
        </w:tc>
        <w:tc>
          <w:tcPr>
            <w:tcW w:w="1657" w:type="pct"/>
            <w:noWrap/>
            <w:hideMark/>
          </w:tcPr>
          <w:p w14:paraId="6321EFDB" w14:textId="77777777" w:rsidR="0060489C" w:rsidRPr="0060489C" w:rsidRDefault="0060489C" w:rsidP="0060489C">
            <w:pPr>
              <w:rPr>
                <w:rFonts w:ascii="Times New Roman" w:eastAsia="Calibri" w:hAnsi="Times New Roman" w:cs="Times New Roman"/>
                <w:b/>
                <w:bCs/>
              </w:rPr>
            </w:pPr>
            <w:r w:rsidRPr="0060489C">
              <w:rPr>
                <w:rFonts w:ascii="Times New Roman" w:eastAsia="Calibri" w:hAnsi="Times New Roman" w:cs="Times New Roman"/>
                <w:b/>
                <w:bCs/>
              </w:rPr>
              <w:t>Gjald</w:t>
            </w:r>
          </w:p>
        </w:tc>
      </w:tr>
      <w:tr w:rsidR="0060489C" w:rsidRPr="0060489C" w14:paraId="7E146140" w14:textId="77777777" w:rsidTr="006A1262">
        <w:trPr>
          <w:trHeight w:val="300"/>
        </w:trPr>
        <w:tc>
          <w:tcPr>
            <w:tcW w:w="3343" w:type="pct"/>
            <w:noWrap/>
            <w:hideMark/>
          </w:tcPr>
          <w:p w14:paraId="7A79CF31"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 xml:space="preserve">P&lt;K </w:t>
            </w:r>
          </w:p>
        </w:tc>
        <w:tc>
          <w:tcPr>
            <w:tcW w:w="1657" w:type="pct"/>
            <w:noWrap/>
            <w:hideMark/>
          </w:tcPr>
          <w:p w14:paraId="2E0E8516"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0,5%</w:t>
            </w:r>
          </w:p>
        </w:tc>
      </w:tr>
      <w:tr w:rsidR="0060489C" w:rsidRPr="0060489C" w14:paraId="01247B2F" w14:textId="77777777" w:rsidTr="006A1262">
        <w:trPr>
          <w:trHeight w:val="300"/>
        </w:trPr>
        <w:tc>
          <w:tcPr>
            <w:tcW w:w="3343" w:type="pct"/>
            <w:noWrap/>
            <w:hideMark/>
          </w:tcPr>
          <w:p w14:paraId="6EE3C04B"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K ≤ P &lt; K+5</w:t>
            </w:r>
          </w:p>
        </w:tc>
        <w:tc>
          <w:tcPr>
            <w:tcW w:w="1657" w:type="pct"/>
            <w:noWrap/>
            <w:hideMark/>
          </w:tcPr>
          <w:p w14:paraId="3254FAC1"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2,5%</w:t>
            </w:r>
          </w:p>
        </w:tc>
      </w:tr>
      <w:tr w:rsidR="0060489C" w:rsidRPr="0060489C" w14:paraId="2E3E911E" w14:textId="77777777" w:rsidTr="006A1262">
        <w:trPr>
          <w:trHeight w:val="300"/>
        </w:trPr>
        <w:tc>
          <w:tcPr>
            <w:tcW w:w="3343" w:type="pct"/>
            <w:noWrap/>
            <w:hideMark/>
          </w:tcPr>
          <w:p w14:paraId="6F966EF9"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K+5 ≤ P &lt; K+15</w:t>
            </w:r>
          </w:p>
        </w:tc>
        <w:tc>
          <w:tcPr>
            <w:tcW w:w="1657" w:type="pct"/>
            <w:noWrap/>
            <w:hideMark/>
          </w:tcPr>
          <w:p w14:paraId="792C296F"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5,0%</w:t>
            </w:r>
          </w:p>
        </w:tc>
      </w:tr>
      <w:tr w:rsidR="0060489C" w:rsidRPr="0060489C" w14:paraId="33FADD15" w14:textId="77777777" w:rsidTr="006A1262">
        <w:trPr>
          <w:trHeight w:val="300"/>
        </w:trPr>
        <w:tc>
          <w:tcPr>
            <w:tcW w:w="3343" w:type="pct"/>
            <w:noWrap/>
            <w:hideMark/>
          </w:tcPr>
          <w:p w14:paraId="3152073D"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K+15 ≤  P &lt; K+20</w:t>
            </w:r>
          </w:p>
        </w:tc>
        <w:tc>
          <w:tcPr>
            <w:tcW w:w="1657" w:type="pct"/>
            <w:noWrap/>
            <w:hideMark/>
          </w:tcPr>
          <w:p w14:paraId="32EC72BF"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7,5%</w:t>
            </w:r>
          </w:p>
        </w:tc>
      </w:tr>
      <w:tr w:rsidR="0060489C" w:rsidRPr="0060489C" w14:paraId="4DF54B1B" w14:textId="77777777" w:rsidTr="006A1262">
        <w:trPr>
          <w:trHeight w:val="300"/>
        </w:trPr>
        <w:tc>
          <w:tcPr>
            <w:tcW w:w="3343" w:type="pct"/>
            <w:noWrap/>
            <w:hideMark/>
          </w:tcPr>
          <w:p w14:paraId="3A004459"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K+20 ≤  P &lt; K+25</w:t>
            </w:r>
          </w:p>
        </w:tc>
        <w:tc>
          <w:tcPr>
            <w:tcW w:w="1657" w:type="pct"/>
            <w:noWrap/>
            <w:hideMark/>
          </w:tcPr>
          <w:p w14:paraId="374ADC61"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10,0%</w:t>
            </w:r>
          </w:p>
        </w:tc>
      </w:tr>
      <w:tr w:rsidR="0060489C" w:rsidRPr="0060489C" w14:paraId="706ECC3E" w14:textId="77777777" w:rsidTr="006A1262">
        <w:trPr>
          <w:trHeight w:val="300"/>
        </w:trPr>
        <w:tc>
          <w:tcPr>
            <w:tcW w:w="3343" w:type="pct"/>
            <w:noWrap/>
            <w:hideMark/>
          </w:tcPr>
          <w:p w14:paraId="564F2ACA"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K+25 ≤  P &lt; K+30</w:t>
            </w:r>
          </w:p>
        </w:tc>
        <w:tc>
          <w:tcPr>
            <w:tcW w:w="1657" w:type="pct"/>
            <w:noWrap/>
            <w:hideMark/>
          </w:tcPr>
          <w:p w14:paraId="36297B5F"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12,5%</w:t>
            </w:r>
          </w:p>
        </w:tc>
      </w:tr>
      <w:tr w:rsidR="0060489C" w:rsidRPr="0060489C" w14:paraId="2325F8C2" w14:textId="77777777" w:rsidTr="006A1262">
        <w:trPr>
          <w:trHeight w:val="300"/>
        </w:trPr>
        <w:tc>
          <w:tcPr>
            <w:tcW w:w="3343" w:type="pct"/>
            <w:noWrap/>
            <w:hideMark/>
          </w:tcPr>
          <w:p w14:paraId="659E5378"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K+30 ≤  P &lt; K+35</w:t>
            </w:r>
          </w:p>
        </w:tc>
        <w:tc>
          <w:tcPr>
            <w:tcW w:w="1657" w:type="pct"/>
            <w:noWrap/>
            <w:hideMark/>
          </w:tcPr>
          <w:p w14:paraId="05F500A2"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15,0%</w:t>
            </w:r>
          </w:p>
        </w:tc>
      </w:tr>
      <w:tr w:rsidR="0060489C" w:rsidRPr="0060489C" w14:paraId="2F762AFD" w14:textId="77777777" w:rsidTr="006A1262">
        <w:trPr>
          <w:trHeight w:val="300"/>
        </w:trPr>
        <w:tc>
          <w:tcPr>
            <w:tcW w:w="3343" w:type="pct"/>
            <w:noWrap/>
            <w:hideMark/>
          </w:tcPr>
          <w:p w14:paraId="02C4DCE8"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K+35 ≤  P &lt; K+40</w:t>
            </w:r>
          </w:p>
        </w:tc>
        <w:tc>
          <w:tcPr>
            <w:tcW w:w="1657" w:type="pct"/>
            <w:noWrap/>
            <w:hideMark/>
          </w:tcPr>
          <w:p w14:paraId="555B6D1F"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17,5%</w:t>
            </w:r>
          </w:p>
        </w:tc>
      </w:tr>
      <w:tr w:rsidR="0060489C" w:rsidRPr="0060489C" w14:paraId="194DF3A4" w14:textId="77777777" w:rsidTr="006A1262">
        <w:trPr>
          <w:trHeight w:val="300"/>
        </w:trPr>
        <w:tc>
          <w:tcPr>
            <w:tcW w:w="3343" w:type="pct"/>
            <w:noWrap/>
            <w:hideMark/>
          </w:tcPr>
          <w:p w14:paraId="635BE587"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P≥K+40</w:t>
            </w:r>
          </w:p>
        </w:tc>
        <w:tc>
          <w:tcPr>
            <w:tcW w:w="1657" w:type="pct"/>
            <w:noWrap/>
            <w:hideMark/>
          </w:tcPr>
          <w:p w14:paraId="57816008" w14:textId="77777777" w:rsidR="0060489C" w:rsidRPr="0060489C" w:rsidRDefault="0060489C" w:rsidP="0060489C">
            <w:pPr>
              <w:rPr>
                <w:rFonts w:ascii="Times New Roman" w:eastAsia="Calibri" w:hAnsi="Times New Roman" w:cs="Times New Roman"/>
              </w:rPr>
            </w:pPr>
            <w:r w:rsidRPr="0060489C">
              <w:rPr>
                <w:rFonts w:ascii="Times New Roman" w:eastAsia="Calibri" w:hAnsi="Times New Roman" w:cs="Times New Roman"/>
              </w:rPr>
              <w:t>20,0%</w:t>
            </w:r>
          </w:p>
        </w:tc>
      </w:tr>
    </w:tbl>
    <w:p w14:paraId="520520BA" w14:textId="0625387C" w:rsidR="00E532E9" w:rsidRDefault="00EC34B3" w:rsidP="0025545D">
      <w:r w:rsidRPr="00F92CF9">
        <w:t xml:space="preserve"> </w:t>
      </w:r>
      <w:r w:rsidR="00B209C5" w:rsidRPr="00F92CF9">
        <w:t>“</w:t>
      </w:r>
      <w:r w:rsidR="00E532E9">
        <w:br w:type="page"/>
      </w:r>
    </w:p>
    <w:p w14:paraId="057F396D" w14:textId="0AED7098" w:rsidR="00E60021" w:rsidRPr="000A129D" w:rsidRDefault="00E60021" w:rsidP="000A129D">
      <w:pPr>
        <w:spacing w:after="0"/>
        <w:jc w:val="both"/>
        <w:rPr>
          <w:b/>
        </w:rPr>
      </w:pPr>
      <w:r w:rsidRPr="000A129D">
        <w:rPr>
          <w:b/>
        </w:rPr>
        <w:lastRenderedPageBreak/>
        <w:t>Kapittul 1. Almennar viðmerkingar</w:t>
      </w:r>
    </w:p>
    <w:p w14:paraId="7CCACC75" w14:textId="77777777" w:rsidR="00E60021" w:rsidRPr="000A129D" w:rsidRDefault="00E60021" w:rsidP="000A129D">
      <w:pPr>
        <w:spacing w:after="0"/>
        <w:jc w:val="both"/>
        <w:rPr>
          <w:b/>
        </w:rPr>
      </w:pPr>
    </w:p>
    <w:p w14:paraId="0B1297BF" w14:textId="77777777" w:rsidR="00E60021" w:rsidRPr="000A129D" w:rsidRDefault="00E60021" w:rsidP="000A129D">
      <w:pPr>
        <w:spacing w:after="0"/>
        <w:jc w:val="both"/>
        <w:rPr>
          <w:b/>
        </w:rPr>
      </w:pPr>
    </w:p>
    <w:p w14:paraId="63543BF2" w14:textId="77777777" w:rsidR="00E60021" w:rsidRPr="000A129D" w:rsidRDefault="00E60021" w:rsidP="000A129D">
      <w:pPr>
        <w:spacing w:after="0"/>
        <w:rPr>
          <w:b/>
        </w:rPr>
      </w:pPr>
      <w:r w:rsidRPr="000A129D">
        <w:rPr>
          <w:b/>
        </w:rPr>
        <w:t>1.1. Orsakir til uppskotið</w:t>
      </w:r>
    </w:p>
    <w:p w14:paraId="274B749C" w14:textId="148F7DCC" w:rsidR="006430D6" w:rsidRDefault="006430D6" w:rsidP="006430D6">
      <w:pPr>
        <w:spacing w:after="0"/>
        <w:jc w:val="both"/>
      </w:pPr>
      <w:r>
        <w:t>Tað er uppgáva landsstýrisins javnan at meta um landsins avgjalds- og skattaskipanir og í hvønn mun tað er neyðugt at tillaga hesar, til tess at fíggja føroyska vælferðarsamfelagið. Í hesum høpi er landsstýrið samt um at tillaga lógina um loyvisgjald á alivinnuna.</w:t>
      </w:r>
    </w:p>
    <w:p w14:paraId="5FD9B028" w14:textId="77777777" w:rsidR="006430D6" w:rsidRDefault="006430D6" w:rsidP="006430D6">
      <w:pPr>
        <w:spacing w:after="0"/>
        <w:jc w:val="both"/>
      </w:pPr>
    </w:p>
    <w:p w14:paraId="3DB919BC" w14:textId="29141DE0" w:rsidR="006430D6" w:rsidRPr="000A129D" w:rsidRDefault="004843F9" w:rsidP="006430D6">
      <w:pPr>
        <w:spacing w:after="0"/>
        <w:jc w:val="both"/>
      </w:pPr>
      <w:r>
        <w:t>Landsstýrið metir tað verða rímiligt, at</w:t>
      </w:r>
      <w:r w:rsidR="006430D6">
        <w:t xml:space="preserve"> </w:t>
      </w:r>
      <w:r>
        <w:t>ali</w:t>
      </w:r>
      <w:r w:rsidR="006430D6">
        <w:t xml:space="preserve">vinnan </w:t>
      </w:r>
      <w:r>
        <w:t xml:space="preserve">rindar </w:t>
      </w:r>
      <w:r w:rsidR="006430D6">
        <w:t xml:space="preserve">fyri tann framíhjárætt, sum feløgini hava til at gagnnýta føroysku alifirðirnar. </w:t>
      </w:r>
      <w:r>
        <w:t>Landsstýrið metir harumframt</w:t>
      </w:r>
      <w:r w:rsidR="00900E0C">
        <w:t xml:space="preserve">, at alifyritøkurnar eiga </w:t>
      </w:r>
      <w:r w:rsidR="00E455B3">
        <w:t>at</w:t>
      </w:r>
      <w:r w:rsidR="000978A2">
        <w:t xml:space="preserve"> </w:t>
      </w:r>
      <w:r w:rsidR="00900E0C">
        <w:t xml:space="preserve">gjalda lutfalsiga meira, tá laksaprísirnir eru høgir. </w:t>
      </w:r>
      <w:r w:rsidR="006430D6" w:rsidRPr="0041267D">
        <w:t xml:space="preserve">Tískil er </w:t>
      </w:r>
      <w:r w:rsidR="00BE3F5B">
        <w:t xml:space="preserve">neyðugt </w:t>
      </w:r>
      <w:r w:rsidR="006430D6" w:rsidRPr="0041267D">
        <w:t>at tillaga lógina um loyvisgjald á alivinnuna.</w:t>
      </w:r>
    </w:p>
    <w:p w14:paraId="3D04FA84" w14:textId="77777777" w:rsidR="006430D6" w:rsidRDefault="006430D6" w:rsidP="009A78E7">
      <w:pPr>
        <w:spacing w:after="0"/>
        <w:jc w:val="both"/>
      </w:pPr>
    </w:p>
    <w:p w14:paraId="1AFEF794" w14:textId="58AB4E70" w:rsidR="009A78E7" w:rsidRDefault="0041267D" w:rsidP="009A78E7">
      <w:pPr>
        <w:spacing w:after="0"/>
        <w:jc w:val="both"/>
      </w:pPr>
      <w:r w:rsidRPr="0041267D">
        <w:t>Framleiðslukostnaðurin í alivinnuni er hækkaður</w:t>
      </w:r>
      <w:r w:rsidR="0060319C">
        <w:t xml:space="preserve"> </w:t>
      </w:r>
      <w:r w:rsidR="0060319C" w:rsidRPr="0041267D">
        <w:t>munandi</w:t>
      </w:r>
      <w:r w:rsidRPr="0041267D">
        <w:t xml:space="preserve"> seinnu árini. Tí uppstanda støður, har alifyritøkur rinda meira enn 0,5% í loyvisgjaldi, hóast laksaprísurin á heimsmarknaðinum er </w:t>
      </w:r>
      <w:r w:rsidR="00DC58DD">
        <w:t>lægri enn framleiðslukostnaðurin</w:t>
      </w:r>
      <w:r w:rsidRPr="0041267D">
        <w:t xml:space="preserve">. </w:t>
      </w:r>
      <w:r w:rsidR="009A78E7">
        <w:t>Samstundis rinda alifyritøkurnar í minna lagi, tá ið laksaprísurin á heimsmarknaðinum er serliga høgur</w:t>
      </w:r>
      <w:r w:rsidR="00E848B0">
        <w:t>.</w:t>
      </w:r>
      <w:r w:rsidR="009A78E7">
        <w:t xml:space="preserve"> </w:t>
      </w:r>
      <w:r w:rsidR="00BE3F5B">
        <w:t>Hesi viðurskifti tala eisini fyri, at lógin verður dagførd.</w:t>
      </w:r>
    </w:p>
    <w:p w14:paraId="48F55AD5" w14:textId="07AA8695" w:rsidR="00BE3F5B" w:rsidRDefault="00BE3F5B" w:rsidP="009A78E7">
      <w:pPr>
        <w:spacing w:after="0"/>
        <w:jc w:val="both"/>
      </w:pPr>
    </w:p>
    <w:p w14:paraId="7825ED62" w14:textId="63CC0066" w:rsidR="00A64086" w:rsidRDefault="00D94A11" w:rsidP="009A78E7">
      <w:pPr>
        <w:spacing w:after="0"/>
        <w:jc w:val="both"/>
      </w:pPr>
      <w:r>
        <w:t xml:space="preserve">Føroyska alivinnan er vorðin ein sera týðandi partur av føroyska búskapinum. </w:t>
      </w:r>
      <w:r w:rsidR="00B83F88">
        <w:t>Útflutningurin av laksi</w:t>
      </w:r>
      <w:r w:rsidR="001340A1">
        <w:t xml:space="preserve"> er nú vorðin ein lítil helmingur av </w:t>
      </w:r>
      <w:r w:rsidR="00B83F88">
        <w:t xml:space="preserve">samlaða vøruútflutninginum. </w:t>
      </w:r>
    </w:p>
    <w:p w14:paraId="472BDA7F" w14:textId="77777777" w:rsidR="00A64086" w:rsidRDefault="00A64086" w:rsidP="009A78E7">
      <w:pPr>
        <w:spacing w:after="0"/>
        <w:jc w:val="both"/>
      </w:pPr>
    </w:p>
    <w:tbl>
      <w:tblPr>
        <w:tblW w:w="8891" w:type="dxa"/>
        <w:tblLook w:val="04A0" w:firstRow="1" w:lastRow="0" w:firstColumn="1" w:lastColumn="0" w:noHBand="0" w:noVBand="1"/>
      </w:tblPr>
      <w:tblGrid>
        <w:gridCol w:w="3239"/>
        <w:gridCol w:w="1108"/>
        <w:gridCol w:w="1108"/>
        <w:gridCol w:w="1108"/>
        <w:gridCol w:w="1108"/>
        <w:gridCol w:w="1220"/>
      </w:tblGrid>
      <w:tr w:rsidR="00E25284" w:rsidRPr="00E25284" w14:paraId="1E3B206D" w14:textId="77777777" w:rsidTr="00CE5F73">
        <w:trPr>
          <w:trHeight w:val="285"/>
        </w:trPr>
        <w:tc>
          <w:tcPr>
            <w:tcW w:w="8891" w:type="dxa"/>
            <w:gridSpan w:val="6"/>
            <w:tcBorders>
              <w:top w:val="nil"/>
              <w:left w:val="nil"/>
              <w:bottom w:val="single" w:sz="4" w:space="0" w:color="auto"/>
              <w:right w:val="nil"/>
            </w:tcBorders>
            <w:shd w:val="clear" w:color="000000" w:fill="FFFFFF"/>
            <w:noWrap/>
            <w:vAlign w:val="bottom"/>
            <w:hideMark/>
          </w:tcPr>
          <w:p w14:paraId="60EDCF6B" w14:textId="0D353B2A" w:rsidR="00E25284" w:rsidRPr="00CE5F73" w:rsidRDefault="00E25284" w:rsidP="00E25284">
            <w:pPr>
              <w:spacing w:after="0"/>
              <w:rPr>
                <w:rFonts w:eastAsia="Times New Roman"/>
                <w:b/>
                <w:bCs/>
                <w:color w:val="000000"/>
                <w:sz w:val="22"/>
                <w:szCs w:val="22"/>
              </w:rPr>
            </w:pPr>
            <w:r w:rsidRPr="00CE5F73">
              <w:rPr>
                <w:rFonts w:eastAsia="Times New Roman"/>
                <w:b/>
                <w:bCs/>
                <w:color w:val="000000"/>
                <w:sz w:val="22"/>
                <w:szCs w:val="22"/>
              </w:rPr>
              <w:t>Virði av útfluttum laksi sum partur av samlaða vøruútflutninginum</w:t>
            </w:r>
          </w:p>
        </w:tc>
      </w:tr>
      <w:tr w:rsidR="00E25284" w:rsidRPr="00E25284" w14:paraId="7F3DB756" w14:textId="77777777" w:rsidTr="00CE5F73">
        <w:trPr>
          <w:trHeight w:val="285"/>
        </w:trPr>
        <w:tc>
          <w:tcPr>
            <w:tcW w:w="3239" w:type="dxa"/>
            <w:tcBorders>
              <w:top w:val="nil"/>
              <w:left w:val="single" w:sz="4" w:space="0" w:color="auto"/>
              <w:bottom w:val="single" w:sz="4" w:space="0" w:color="auto"/>
              <w:right w:val="single" w:sz="4" w:space="0" w:color="auto"/>
            </w:tcBorders>
            <w:shd w:val="clear" w:color="000000" w:fill="FFFFFF"/>
            <w:noWrap/>
            <w:vAlign w:val="bottom"/>
            <w:hideMark/>
          </w:tcPr>
          <w:p w14:paraId="5D57C64B" w14:textId="77777777" w:rsidR="00E25284" w:rsidRPr="00CE5F73" w:rsidRDefault="00E25284" w:rsidP="00E25284">
            <w:pPr>
              <w:spacing w:after="0"/>
              <w:rPr>
                <w:rFonts w:eastAsia="Times New Roman"/>
                <w:color w:val="000000"/>
                <w:sz w:val="22"/>
                <w:szCs w:val="22"/>
              </w:rPr>
            </w:pPr>
            <w:r w:rsidRPr="00CE5F73">
              <w:rPr>
                <w:rFonts w:eastAsia="Times New Roman"/>
                <w:color w:val="000000"/>
                <w:sz w:val="22"/>
                <w:szCs w:val="22"/>
              </w:rPr>
              <w:t xml:space="preserve">Í mió. kr. </w:t>
            </w:r>
          </w:p>
        </w:tc>
        <w:tc>
          <w:tcPr>
            <w:tcW w:w="1108" w:type="dxa"/>
            <w:tcBorders>
              <w:top w:val="nil"/>
              <w:left w:val="nil"/>
              <w:bottom w:val="single" w:sz="4" w:space="0" w:color="auto"/>
              <w:right w:val="single" w:sz="4" w:space="0" w:color="auto"/>
            </w:tcBorders>
            <w:shd w:val="clear" w:color="000000" w:fill="FFFFFF"/>
            <w:noWrap/>
            <w:vAlign w:val="bottom"/>
            <w:hideMark/>
          </w:tcPr>
          <w:p w14:paraId="0B5F1D24" w14:textId="77777777" w:rsidR="00E25284" w:rsidRPr="00CE5F73" w:rsidRDefault="00E25284" w:rsidP="00E25284">
            <w:pPr>
              <w:spacing w:after="0"/>
              <w:jc w:val="center"/>
              <w:rPr>
                <w:rFonts w:eastAsia="Times New Roman"/>
                <w:b/>
                <w:bCs/>
                <w:color w:val="000000"/>
                <w:sz w:val="22"/>
                <w:szCs w:val="22"/>
              </w:rPr>
            </w:pPr>
            <w:r w:rsidRPr="00CE5F73">
              <w:rPr>
                <w:rFonts w:eastAsia="Times New Roman"/>
                <w:b/>
                <w:bCs/>
                <w:color w:val="000000"/>
                <w:sz w:val="22"/>
                <w:szCs w:val="22"/>
              </w:rPr>
              <w:t>2017</w:t>
            </w:r>
          </w:p>
        </w:tc>
        <w:tc>
          <w:tcPr>
            <w:tcW w:w="1108" w:type="dxa"/>
            <w:tcBorders>
              <w:top w:val="nil"/>
              <w:left w:val="nil"/>
              <w:bottom w:val="single" w:sz="4" w:space="0" w:color="auto"/>
              <w:right w:val="single" w:sz="4" w:space="0" w:color="auto"/>
            </w:tcBorders>
            <w:shd w:val="clear" w:color="000000" w:fill="FFFFFF"/>
            <w:noWrap/>
            <w:vAlign w:val="bottom"/>
            <w:hideMark/>
          </w:tcPr>
          <w:p w14:paraId="5AEDA526" w14:textId="77777777" w:rsidR="00E25284" w:rsidRPr="00CE5F73" w:rsidRDefault="00E25284" w:rsidP="00E25284">
            <w:pPr>
              <w:spacing w:after="0"/>
              <w:jc w:val="center"/>
              <w:rPr>
                <w:rFonts w:eastAsia="Times New Roman"/>
                <w:b/>
                <w:bCs/>
                <w:color w:val="000000"/>
                <w:sz w:val="22"/>
                <w:szCs w:val="22"/>
              </w:rPr>
            </w:pPr>
            <w:r w:rsidRPr="00CE5F73">
              <w:rPr>
                <w:rFonts w:eastAsia="Times New Roman"/>
                <w:b/>
                <w:bCs/>
                <w:color w:val="000000"/>
                <w:sz w:val="22"/>
                <w:szCs w:val="22"/>
              </w:rPr>
              <w:t>2018</w:t>
            </w:r>
          </w:p>
        </w:tc>
        <w:tc>
          <w:tcPr>
            <w:tcW w:w="1108" w:type="dxa"/>
            <w:tcBorders>
              <w:top w:val="nil"/>
              <w:left w:val="nil"/>
              <w:bottom w:val="single" w:sz="4" w:space="0" w:color="auto"/>
              <w:right w:val="single" w:sz="4" w:space="0" w:color="auto"/>
            </w:tcBorders>
            <w:shd w:val="clear" w:color="000000" w:fill="FFFFFF"/>
            <w:noWrap/>
            <w:vAlign w:val="bottom"/>
            <w:hideMark/>
          </w:tcPr>
          <w:p w14:paraId="69E5900C" w14:textId="77777777" w:rsidR="00E25284" w:rsidRPr="00CE5F73" w:rsidRDefault="00E25284" w:rsidP="00E25284">
            <w:pPr>
              <w:spacing w:after="0"/>
              <w:jc w:val="center"/>
              <w:rPr>
                <w:rFonts w:eastAsia="Times New Roman"/>
                <w:b/>
                <w:bCs/>
                <w:color w:val="000000"/>
                <w:sz w:val="22"/>
                <w:szCs w:val="22"/>
              </w:rPr>
            </w:pPr>
            <w:r w:rsidRPr="00CE5F73">
              <w:rPr>
                <w:rFonts w:eastAsia="Times New Roman"/>
                <w:b/>
                <w:bCs/>
                <w:color w:val="000000"/>
                <w:sz w:val="22"/>
                <w:szCs w:val="22"/>
              </w:rPr>
              <w:t>2019</w:t>
            </w:r>
          </w:p>
        </w:tc>
        <w:tc>
          <w:tcPr>
            <w:tcW w:w="1108" w:type="dxa"/>
            <w:tcBorders>
              <w:top w:val="nil"/>
              <w:left w:val="nil"/>
              <w:bottom w:val="single" w:sz="4" w:space="0" w:color="auto"/>
              <w:right w:val="single" w:sz="4" w:space="0" w:color="auto"/>
            </w:tcBorders>
            <w:shd w:val="clear" w:color="000000" w:fill="FFFFFF"/>
            <w:noWrap/>
            <w:vAlign w:val="bottom"/>
            <w:hideMark/>
          </w:tcPr>
          <w:p w14:paraId="26D4161F" w14:textId="77777777" w:rsidR="00E25284" w:rsidRPr="00CE5F73" w:rsidRDefault="00E25284" w:rsidP="00E25284">
            <w:pPr>
              <w:spacing w:after="0"/>
              <w:jc w:val="center"/>
              <w:rPr>
                <w:rFonts w:eastAsia="Times New Roman"/>
                <w:b/>
                <w:bCs/>
                <w:color w:val="000000"/>
                <w:sz w:val="22"/>
                <w:szCs w:val="22"/>
              </w:rPr>
            </w:pPr>
            <w:r w:rsidRPr="00CE5F73">
              <w:rPr>
                <w:rFonts w:eastAsia="Times New Roman"/>
                <w:b/>
                <w:bCs/>
                <w:color w:val="000000"/>
                <w:sz w:val="22"/>
                <w:szCs w:val="22"/>
              </w:rPr>
              <w:t>2020</w:t>
            </w:r>
          </w:p>
        </w:tc>
        <w:tc>
          <w:tcPr>
            <w:tcW w:w="1220" w:type="dxa"/>
            <w:tcBorders>
              <w:top w:val="nil"/>
              <w:left w:val="nil"/>
              <w:bottom w:val="single" w:sz="4" w:space="0" w:color="auto"/>
              <w:right w:val="single" w:sz="4" w:space="0" w:color="auto"/>
            </w:tcBorders>
            <w:shd w:val="clear" w:color="000000" w:fill="FFFFFF"/>
            <w:noWrap/>
            <w:vAlign w:val="bottom"/>
            <w:hideMark/>
          </w:tcPr>
          <w:p w14:paraId="31615D1C" w14:textId="77777777" w:rsidR="00E25284" w:rsidRPr="00CE5F73" w:rsidRDefault="00E25284" w:rsidP="00E25284">
            <w:pPr>
              <w:spacing w:after="0"/>
              <w:jc w:val="center"/>
              <w:rPr>
                <w:rFonts w:eastAsia="Times New Roman"/>
                <w:b/>
                <w:bCs/>
                <w:color w:val="000000"/>
                <w:sz w:val="22"/>
                <w:szCs w:val="22"/>
              </w:rPr>
            </w:pPr>
            <w:r w:rsidRPr="00CE5F73">
              <w:rPr>
                <w:rFonts w:eastAsia="Times New Roman"/>
                <w:b/>
                <w:bCs/>
                <w:color w:val="000000"/>
                <w:sz w:val="22"/>
                <w:szCs w:val="22"/>
              </w:rPr>
              <w:t>2021</w:t>
            </w:r>
          </w:p>
        </w:tc>
      </w:tr>
      <w:tr w:rsidR="00E25284" w:rsidRPr="00E25284" w14:paraId="566C7349" w14:textId="77777777" w:rsidTr="00CE5F73">
        <w:trPr>
          <w:trHeight w:val="285"/>
        </w:trPr>
        <w:tc>
          <w:tcPr>
            <w:tcW w:w="3239" w:type="dxa"/>
            <w:tcBorders>
              <w:top w:val="nil"/>
              <w:left w:val="single" w:sz="4" w:space="0" w:color="auto"/>
              <w:bottom w:val="single" w:sz="4" w:space="0" w:color="auto"/>
              <w:right w:val="single" w:sz="4" w:space="0" w:color="auto"/>
            </w:tcBorders>
            <w:shd w:val="clear" w:color="000000" w:fill="FFFFFF"/>
            <w:noWrap/>
            <w:vAlign w:val="bottom"/>
            <w:hideMark/>
          </w:tcPr>
          <w:p w14:paraId="7DAF58F9" w14:textId="77777777" w:rsidR="00E25284" w:rsidRPr="00CE5F73" w:rsidRDefault="00E25284" w:rsidP="00E25284">
            <w:pPr>
              <w:spacing w:after="0"/>
              <w:rPr>
                <w:rFonts w:eastAsia="Times New Roman"/>
                <w:color w:val="000000"/>
                <w:sz w:val="22"/>
                <w:szCs w:val="22"/>
              </w:rPr>
            </w:pPr>
            <w:r w:rsidRPr="00CE5F73">
              <w:rPr>
                <w:rFonts w:eastAsia="Times New Roman"/>
                <w:color w:val="000000"/>
                <w:sz w:val="22"/>
                <w:szCs w:val="22"/>
              </w:rPr>
              <w:t>Útfluttur laksur</w:t>
            </w:r>
          </w:p>
        </w:tc>
        <w:tc>
          <w:tcPr>
            <w:tcW w:w="1108" w:type="dxa"/>
            <w:tcBorders>
              <w:top w:val="nil"/>
              <w:left w:val="nil"/>
              <w:bottom w:val="single" w:sz="4" w:space="0" w:color="auto"/>
              <w:right w:val="single" w:sz="4" w:space="0" w:color="auto"/>
            </w:tcBorders>
            <w:shd w:val="clear" w:color="000000" w:fill="FFFFFF"/>
            <w:noWrap/>
            <w:vAlign w:val="bottom"/>
            <w:hideMark/>
          </w:tcPr>
          <w:p w14:paraId="4AF536AD" w14:textId="77777777" w:rsidR="00E25284" w:rsidRPr="00CE5F73" w:rsidRDefault="00E25284" w:rsidP="00F870A8">
            <w:pPr>
              <w:spacing w:after="0"/>
              <w:rPr>
                <w:rFonts w:eastAsia="Times New Roman"/>
                <w:color w:val="000000"/>
                <w:sz w:val="22"/>
                <w:szCs w:val="22"/>
              </w:rPr>
            </w:pPr>
            <w:r w:rsidRPr="00CE5F73">
              <w:rPr>
                <w:rFonts w:eastAsia="Times New Roman"/>
                <w:color w:val="000000"/>
                <w:sz w:val="22"/>
                <w:szCs w:val="22"/>
              </w:rPr>
              <w:t>3.867.656</w:t>
            </w:r>
          </w:p>
        </w:tc>
        <w:tc>
          <w:tcPr>
            <w:tcW w:w="1108" w:type="dxa"/>
            <w:tcBorders>
              <w:top w:val="nil"/>
              <w:left w:val="nil"/>
              <w:bottom w:val="single" w:sz="4" w:space="0" w:color="auto"/>
              <w:right w:val="single" w:sz="4" w:space="0" w:color="auto"/>
            </w:tcBorders>
            <w:shd w:val="clear" w:color="000000" w:fill="FFFFFF"/>
            <w:noWrap/>
            <w:vAlign w:val="bottom"/>
            <w:hideMark/>
          </w:tcPr>
          <w:p w14:paraId="3C3F6C2E" w14:textId="77777777" w:rsidR="00E25284" w:rsidRPr="00CE5F73" w:rsidRDefault="00E25284" w:rsidP="00F870A8">
            <w:pPr>
              <w:spacing w:after="0"/>
              <w:rPr>
                <w:rFonts w:eastAsia="Times New Roman"/>
                <w:color w:val="000000"/>
                <w:sz w:val="22"/>
                <w:szCs w:val="22"/>
              </w:rPr>
            </w:pPr>
            <w:r w:rsidRPr="00CE5F73">
              <w:rPr>
                <w:rFonts w:eastAsia="Times New Roman"/>
                <w:color w:val="000000"/>
                <w:sz w:val="22"/>
                <w:szCs w:val="22"/>
              </w:rPr>
              <w:t>3.340.535</w:t>
            </w:r>
          </w:p>
        </w:tc>
        <w:tc>
          <w:tcPr>
            <w:tcW w:w="1108" w:type="dxa"/>
            <w:tcBorders>
              <w:top w:val="nil"/>
              <w:left w:val="nil"/>
              <w:bottom w:val="single" w:sz="4" w:space="0" w:color="auto"/>
              <w:right w:val="single" w:sz="4" w:space="0" w:color="auto"/>
            </w:tcBorders>
            <w:shd w:val="clear" w:color="000000" w:fill="FFFFFF"/>
            <w:noWrap/>
            <w:vAlign w:val="bottom"/>
            <w:hideMark/>
          </w:tcPr>
          <w:p w14:paraId="6825F8AD" w14:textId="77777777" w:rsidR="00E25284" w:rsidRPr="00CE5F73" w:rsidRDefault="00E25284" w:rsidP="00F870A8">
            <w:pPr>
              <w:spacing w:after="0"/>
              <w:rPr>
                <w:rFonts w:eastAsia="Times New Roman"/>
                <w:color w:val="000000"/>
                <w:sz w:val="22"/>
                <w:szCs w:val="22"/>
              </w:rPr>
            </w:pPr>
            <w:r w:rsidRPr="00CE5F73">
              <w:rPr>
                <w:rFonts w:eastAsia="Times New Roman"/>
                <w:color w:val="000000"/>
                <w:sz w:val="22"/>
                <w:szCs w:val="22"/>
              </w:rPr>
              <w:t>4.041.516</w:t>
            </w:r>
          </w:p>
        </w:tc>
        <w:tc>
          <w:tcPr>
            <w:tcW w:w="1108" w:type="dxa"/>
            <w:tcBorders>
              <w:top w:val="nil"/>
              <w:left w:val="nil"/>
              <w:bottom w:val="single" w:sz="4" w:space="0" w:color="auto"/>
              <w:right w:val="single" w:sz="4" w:space="0" w:color="auto"/>
            </w:tcBorders>
            <w:shd w:val="clear" w:color="000000" w:fill="FFFFFF"/>
            <w:noWrap/>
            <w:vAlign w:val="bottom"/>
            <w:hideMark/>
          </w:tcPr>
          <w:p w14:paraId="13C1E821" w14:textId="77777777" w:rsidR="00E25284" w:rsidRPr="00CE5F73" w:rsidRDefault="00E25284" w:rsidP="00F870A8">
            <w:pPr>
              <w:spacing w:after="0"/>
              <w:rPr>
                <w:rFonts w:eastAsia="Times New Roman"/>
                <w:color w:val="000000"/>
                <w:sz w:val="22"/>
                <w:szCs w:val="22"/>
              </w:rPr>
            </w:pPr>
            <w:r w:rsidRPr="00CE5F73">
              <w:rPr>
                <w:rFonts w:eastAsia="Times New Roman"/>
                <w:color w:val="000000"/>
                <w:sz w:val="22"/>
                <w:szCs w:val="22"/>
              </w:rPr>
              <w:t>3.312.382</w:t>
            </w:r>
          </w:p>
        </w:tc>
        <w:tc>
          <w:tcPr>
            <w:tcW w:w="1220" w:type="dxa"/>
            <w:tcBorders>
              <w:top w:val="nil"/>
              <w:left w:val="nil"/>
              <w:bottom w:val="single" w:sz="4" w:space="0" w:color="auto"/>
              <w:right w:val="single" w:sz="4" w:space="0" w:color="auto"/>
            </w:tcBorders>
            <w:shd w:val="clear" w:color="000000" w:fill="FFFFFF"/>
            <w:noWrap/>
            <w:vAlign w:val="bottom"/>
            <w:hideMark/>
          </w:tcPr>
          <w:p w14:paraId="10F30751" w14:textId="77777777" w:rsidR="00E25284" w:rsidRPr="00CE5F73" w:rsidRDefault="00E25284" w:rsidP="00F870A8">
            <w:pPr>
              <w:spacing w:after="0"/>
              <w:jc w:val="right"/>
              <w:rPr>
                <w:rFonts w:eastAsia="Times New Roman"/>
                <w:color w:val="000000"/>
                <w:sz w:val="22"/>
                <w:szCs w:val="22"/>
              </w:rPr>
            </w:pPr>
            <w:r w:rsidRPr="00CE5F73">
              <w:rPr>
                <w:rFonts w:eastAsia="Times New Roman"/>
                <w:color w:val="000000"/>
                <w:sz w:val="22"/>
                <w:szCs w:val="22"/>
              </w:rPr>
              <w:t>4.489.457</w:t>
            </w:r>
          </w:p>
        </w:tc>
      </w:tr>
      <w:tr w:rsidR="00E25284" w:rsidRPr="00E25284" w14:paraId="5BBF3483" w14:textId="77777777" w:rsidTr="00CE5F73">
        <w:trPr>
          <w:trHeight w:val="285"/>
        </w:trPr>
        <w:tc>
          <w:tcPr>
            <w:tcW w:w="3239" w:type="dxa"/>
            <w:tcBorders>
              <w:top w:val="nil"/>
              <w:left w:val="single" w:sz="4" w:space="0" w:color="auto"/>
              <w:bottom w:val="single" w:sz="4" w:space="0" w:color="auto"/>
              <w:right w:val="single" w:sz="4" w:space="0" w:color="auto"/>
            </w:tcBorders>
            <w:shd w:val="clear" w:color="000000" w:fill="FFFFFF"/>
            <w:noWrap/>
            <w:vAlign w:val="bottom"/>
            <w:hideMark/>
          </w:tcPr>
          <w:p w14:paraId="198F8E97" w14:textId="77777777" w:rsidR="00E25284" w:rsidRPr="00CE5F73" w:rsidRDefault="00E25284" w:rsidP="00E25284">
            <w:pPr>
              <w:spacing w:after="0"/>
              <w:rPr>
                <w:rFonts w:eastAsia="Times New Roman"/>
                <w:color w:val="000000"/>
                <w:sz w:val="22"/>
                <w:szCs w:val="22"/>
              </w:rPr>
            </w:pPr>
            <w:r w:rsidRPr="00CE5F73">
              <w:rPr>
                <w:rFonts w:eastAsia="Times New Roman"/>
                <w:color w:val="000000"/>
                <w:sz w:val="22"/>
                <w:szCs w:val="22"/>
              </w:rPr>
              <w:t>Vøruútflutningur tilsamans</w:t>
            </w:r>
          </w:p>
        </w:tc>
        <w:tc>
          <w:tcPr>
            <w:tcW w:w="1108" w:type="dxa"/>
            <w:tcBorders>
              <w:top w:val="nil"/>
              <w:left w:val="nil"/>
              <w:bottom w:val="single" w:sz="4" w:space="0" w:color="auto"/>
              <w:right w:val="single" w:sz="4" w:space="0" w:color="auto"/>
            </w:tcBorders>
            <w:shd w:val="clear" w:color="000000" w:fill="FFFFFF"/>
            <w:noWrap/>
            <w:vAlign w:val="bottom"/>
            <w:hideMark/>
          </w:tcPr>
          <w:p w14:paraId="335DECE1" w14:textId="77777777" w:rsidR="00E25284" w:rsidRPr="00CE5F73" w:rsidRDefault="00E25284" w:rsidP="00F870A8">
            <w:pPr>
              <w:spacing w:after="0"/>
              <w:rPr>
                <w:rFonts w:eastAsia="Times New Roman"/>
                <w:color w:val="000000"/>
                <w:sz w:val="22"/>
                <w:szCs w:val="22"/>
              </w:rPr>
            </w:pPr>
            <w:r w:rsidRPr="00CE5F73">
              <w:rPr>
                <w:rFonts w:eastAsia="Times New Roman"/>
                <w:color w:val="000000"/>
                <w:sz w:val="22"/>
                <w:szCs w:val="22"/>
              </w:rPr>
              <w:t>8.776.625</w:t>
            </w:r>
          </w:p>
        </w:tc>
        <w:tc>
          <w:tcPr>
            <w:tcW w:w="1108" w:type="dxa"/>
            <w:tcBorders>
              <w:top w:val="nil"/>
              <w:left w:val="nil"/>
              <w:bottom w:val="single" w:sz="4" w:space="0" w:color="auto"/>
              <w:right w:val="single" w:sz="4" w:space="0" w:color="auto"/>
            </w:tcBorders>
            <w:shd w:val="clear" w:color="000000" w:fill="FFFFFF"/>
            <w:noWrap/>
            <w:vAlign w:val="bottom"/>
            <w:hideMark/>
          </w:tcPr>
          <w:p w14:paraId="35554C28" w14:textId="77777777" w:rsidR="00E25284" w:rsidRPr="00CE5F73" w:rsidRDefault="00E25284" w:rsidP="00F870A8">
            <w:pPr>
              <w:spacing w:after="0"/>
              <w:rPr>
                <w:rFonts w:eastAsia="Times New Roman"/>
                <w:color w:val="000000"/>
                <w:sz w:val="22"/>
                <w:szCs w:val="22"/>
              </w:rPr>
            </w:pPr>
            <w:r w:rsidRPr="00CE5F73">
              <w:rPr>
                <w:rFonts w:eastAsia="Times New Roman"/>
                <w:color w:val="000000"/>
                <w:sz w:val="22"/>
                <w:szCs w:val="22"/>
              </w:rPr>
              <w:t>8.023.338</w:t>
            </w:r>
          </w:p>
        </w:tc>
        <w:tc>
          <w:tcPr>
            <w:tcW w:w="1108" w:type="dxa"/>
            <w:tcBorders>
              <w:top w:val="nil"/>
              <w:left w:val="nil"/>
              <w:bottom w:val="single" w:sz="4" w:space="0" w:color="auto"/>
              <w:right w:val="single" w:sz="4" w:space="0" w:color="auto"/>
            </w:tcBorders>
            <w:shd w:val="clear" w:color="000000" w:fill="FFFFFF"/>
            <w:noWrap/>
            <w:vAlign w:val="bottom"/>
            <w:hideMark/>
          </w:tcPr>
          <w:p w14:paraId="24575AE6" w14:textId="77777777" w:rsidR="00E25284" w:rsidRPr="00CE5F73" w:rsidRDefault="00E25284" w:rsidP="00F870A8">
            <w:pPr>
              <w:spacing w:after="0"/>
              <w:rPr>
                <w:rFonts w:eastAsia="Times New Roman"/>
                <w:color w:val="000000"/>
                <w:sz w:val="22"/>
                <w:szCs w:val="22"/>
              </w:rPr>
            </w:pPr>
            <w:r w:rsidRPr="00CE5F73">
              <w:rPr>
                <w:rFonts w:eastAsia="Times New Roman"/>
                <w:color w:val="000000"/>
                <w:sz w:val="22"/>
                <w:szCs w:val="22"/>
              </w:rPr>
              <w:t>9.533.598</w:t>
            </w:r>
          </w:p>
        </w:tc>
        <w:tc>
          <w:tcPr>
            <w:tcW w:w="1108" w:type="dxa"/>
            <w:tcBorders>
              <w:top w:val="nil"/>
              <w:left w:val="nil"/>
              <w:bottom w:val="single" w:sz="4" w:space="0" w:color="auto"/>
              <w:right w:val="single" w:sz="4" w:space="0" w:color="auto"/>
            </w:tcBorders>
            <w:shd w:val="clear" w:color="000000" w:fill="FFFFFF"/>
            <w:noWrap/>
            <w:vAlign w:val="bottom"/>
            <w:hideMark/>
          </w:tcPr>
          <w:p w14:paraId="4646DE27" w14:textId="77777777" w:rsidR="00E25284" w:rsidRPr="00CE5F73" w:rsidRDefault="00E25284" w:rsidP="00F870A8">
            <w:pPr>
              <w:spacing w:after="0"/>
              <w:rPr>
                <w:rFonts w:eastAsia="Times New Roman"/>
                <w:color w:val="000000"/>
                <w:sz w:val="22"/>
                <w:szCs w:val="22"/>
              </w:rPr>
            </w:pPr>
            <w:r w:rsidRPr="00CE5F73">
              <w:rPr>
                <w:rFonts w:eastAsia="Times New Roman"/>
                <w:color w:val="000000"/>
                <w:sz w:val="22"/>
                <w:szCs w:val="22"/>
              </w:rPr>
              <w:t>8.400.794</w:t>
            </w:r>
          </w:p>
        </w:tc>
        <w:tc>
          <w:tcPr>
            <w:tcW w:w="1220" w:type="dxa"/>
            <w:tcBorders>
              <w:top w:val="nil"/>
              <w:left w:val="nil"/>
              <w:bottom w:val="single" w:sz="4" w:space="0" w:color="auto"/>
              <w:right w:val="single" w:sz="4" w:space="0" w:color="auto"/>
            </w:tcBorders>
            <w:shd w:val="clear" w:color="000000" w:fill="FFFFFF"/>
            <w:noWrap/>
            <w:vAlign w:val="bottom"/>
            <w:hideMark/>
          </w:tcPr>
          <w:p w14:paraId="27C56BA4" w14:textId="77777777" w:rsidR="00E25284" w:rsidRPr="00CE5F73" w:rsidRDefault="00E25284" w:rsidP="00F870A8">
            <w:pPr>
              <w:spacing w:after="0"/>
              <w:rPr>
                <w:rFonts w:eastAsia="Times New Roman"/>
                <w:color w:val="000000"/>
                <w:sz w:val="22"/>
                <w:szCs w:val="22"/>
              </w:rPr>
            </w:pPr>
            <w:r w:rsidRPr="00CE5F73">
              <w:rPr>
                <w:rFonts w:eastAsia="Times New Roman"/>
                <w:color w:val="000000"/>
                <w:sz w:val="22"/>
                <w:szCs w:val="22"/>
              </w:rPr>
              <w:t>10.061.692</w:t>
            </w:r>
          </w:p>
        </w:tc>
      </w:tr>
      <w:tr w:rsidR="00E25284" w:rsidRPr="00E25284" w14:paraId="392DFCB7" w14:textId="77777777" w:rsidTr="00CE5F73">
        <w:trPr>
          <w:trHeight w:val="285"/>
        </w:trPr>
        <w:tc>
          <w:tcPr>
            <w:tcW w:w="3239" w:type="dxa"/>
            <w:tcBorders>
              <w:top w:val="nil"/>
              <w:left w:val="single" w:sz="4" w:space="0" w:color="auto"/>
              <w:bottom w:val="single" w:sz="4" w:space="0" w:color="auto"/>
              <w:right w:val="single" w:sz="4" w:space="0" w:color="auto"/>
            </w:tcBorders>
            <w:shd w:val="clear" w:color="000000" w:fill="FFFFFF"/>
            <w:noWrap/>
            <w:vAlign w:val="bottom"/>
            <w:hideMark/>
          </w:tcPr>
          <w:p w14:paraId="514E7FCC" w14:textId="77777777" w:rsidR="00E25284" w:rsidRPr="00CE5F73" w:rsidRDefault="00E25284" w:rsidP="00E25284">
            <w:pPr>
              <w:spacing w:after="0"/>
              <w:rPr>
                <w:rFonts w:eastAsia="Times New Roman"/>
                <w:color w:val="000000"/>
                <w:sz w:val="22"/>
                <w:szCs w:val="22"/>
              </w:rPr>
            </w:pPr>
            <w:r w:rsidRPr="00CE5F73">
              <w:rPr>
                <w:rFonts w:eastAsia="Times New Roman"/>
                <w:color w:val="000000"/>
                <w:sz w:val="22"/>
                <w:szCs w:val="22"/>
              </w:rPr>
              <w:t>Laksaútflutningurin í prosentum</w:t>
            </w:r>
          </w:p>
        </w:tc>
        <w:tc>
          <w:tcPr>
            <w:tcW w:w="1108" w:type="dxa"/>
            <w:tcBorders>
              <w:top w:val="nil"/>
              <w:left w:val="nil"/>
              <w:bottom w:val="single" w:sz="4" w:space="0" w:color="auto"/>
              <w:right w:val="single" w:sz="4" w:space="0" w:color="auto"/>
            </w:tcBorders>
            <w:shd w:val="clear" w:color="000000" w:fill="FFFFFF"/>
            <w:noWrap/>
            <w:vAlign w:val="bottom"/>
            <w:hideMark/>
          </w:tcPr>
          <w:p w14:paraId="4B8998C3" w14:textId="77777777" w:rsidR="00E25284" w:rsidRPr="00CE5F73" w:rsidRDefault="00E25284" w:rsidP="00F870A8">
            <w:pPr>
              <w:spacing w:after="0"/>
              <w:jc w:val="right"/>
              <w:rPr>
                <w:rFonts w:eastAsia="Times New Roman"/>
                <w:color w:val="000000"/>
                <w:sz w:val="22"/>
                <w:szCs w:val="22"/>
              </w:rPr>
            </w:pPr>
            <w:r w:rsidRPr="00CE5F73">
              <w:rPr>
                <w:rFonts w:eastAsia="Times New Roman"/>
                <w:color w:val="000000"/>
                <w:sz w:val="22"/>
                <w:szCs w:val="22"/>
              </w:rPr>
              <w:t>44,1%</w:t>
            </w:r>
          </w:p>
        </w:tc>
        <w:tc>
          <w:tcPr>
            <w:tcW w:w="1108" w:type="dxa"/>
            <w:tcBorders>
              <w:top w:val="nil"/>
              <w:left w:val="nil"/>
              <w:bottom w:val="single" w:sz="4" w:space="0" w:color="auto"/>
              <w:right w:val="single" w:sz="4" w:space="0" w:color="auto"/>
            </w:tcBorders>
            <w:shd w:val="clear" w:color="000000" w:fill="FFFFFF"/>
            <w:noWrap/>
            <w:vAlign w:val="bottom"/>
            <w:hideMark/>
          </w:tcPr>
          <w:p w14:paraId="78B66101" w14:textId="77777777" w:rsidR="00E25284" w:rsidRPr="00CE5F73" w:rsidRDefault="00E25284" w:rsidP="00F870A8">
            <w:pPr>
              <w:spacing w:after="0"/>
              <w:jc w:val="right"/>
              <w:rPr>
                <w:rFonts w:eastAsia="Times New Roman"/>
                <w:color w:val="000000"/>
                <w:sz w:val="22"/>
                <w:szCs w:val="22"/>
              </w:rPr>
            </w:pPr>
            <w:r w:rsidRPr="00CE5F73">
              <w:rPr>
                <w:rFonts w:eastAsia="Times New Roman"/>
                <w:color w:val="000000"/>
                <w:sz w:val="22"/>
                <w:szCs w:val="22"/>
              </w:rPr>
              <w:t>41,6%</w:t>
            </w:r>
          </w:p>
        </w:tc>
        <w:tc>
          <w:tcPr>
            <w:tcW w:w="1108" w:type="dxa"/>
            <w:tcBorders>
              <w:top w:val="nil"/>
              <w:left w:val="nil"/>
              <w:bottom w:val="single" w:sz="4" w:space="0" w:color="auto"/>
              <w:right w:val="single" w:sz="4" w:space="0" w:color="auto"/>
            </w:tcBorders>
            <w:shd w:val="clear" w:color="000000" w:fill="FFFFFF"/>
            <w:noWrap/>
            <w:vAlign w:val="bottom"/>
            <w:hideMark/>
          </w:tcPr>
          <w:p w14:paraId="07B46059" w14:textId="77777777" w:rsidR="00E25284" w:rsidRPr="00CE5F73" w:rsidRDefault="00E25284" w:rsidP="00F870A8">
            <w:pPr>
              <w:spacing w:after="0"/>
              <w:jc w:val="right"/>
              <w:rPr>
                <w:rFonts w:eastAsia="Times New Roman"/>
                <w:color w:val="000000"/>
                <w:sz w:val="22"/>
                <w:szCs w:val="22"/>
              </w:rPr>
            </w:pPr>
            <w:r w:rsidRPr="00CE5F73">
              <w:rPr>
                <w:rFonts w:eastAsia="Times New Roman"/>
                <w:color w:val="000000"/>
                <w:sz w:val="22"/>
                <w:szCs w:val="22"/>
              </w:rPr>
              <w:t>42,4%</w:t>
            </w:r>
          </w:p>
        </w:tc>
        <w:tc>
          <w:tcPr>
            <w:tcW w:w="1108" w:type="dxa"/>
            <w:tcBorders>
              <w:top w:val="nil"/>
              <w:left w:val="nil"/>
              <w:bottom w:val="single" w:sz="4" w:space="0" w:color="auto"/>
              <w:right w:val="single" w:sz="4" w:space="0" w:color="auto"/>
            </w:tcBorders>
            <w:shd w:val="clear" w:color="000000" w:fill="FFFFFF"/>
            <w:noWrap/>
            <w:vAlign w:val="bottom"/>
            <w:hideMark/>
          </w:tcPr>
          <w:p w14:paraId="2DE0E8E9" w14:textId="77777777" w:rsidR="00E25284" w:rsidRPr="00CE5F73" w:rsidRDefault="00E25284" w:rsidP="00F870A8">
            <w:pPr>
              <w:spacing w:after="0"/>
              <w:jc w:val="right"/>
              <w:rPr>
                <w:rFonts w:eastAsia="Times New Roman"/>
                <w:color w:val="000000"/>
                <w:sz w:val="22"/>
                <w:szCs w:val="22"/>
              </w:rPr>
            </w:pPr>
            <w:r w:rsidRPr="00CE5F73">
              <w:rPr>
                <w:rFonts w:eastAsia="Times New Roman"/>
                <w:color w:val="000000"/>
                <w:sz w:val="22"/>
                <w:szCs w:val="22"/>
              </w:rPr>
              <w:t>39,4%</w:t>
            </w:r>
          </w:p>
        </w:tc>
        <w:tc>
          <w:tcPr>
            <w:tcW w:w="1220" w:type="dxa"/>
            <w:tcBorders>
              <w:top w:val="nil"/>
              <w:left w:val="nil"/>
              <w:bottom w:val="single" w:sz="4" w:space="0" w:color="auto"/>
              <w:right w:val="single" w:sz="4" w:space="0" w:color="auto"/>
            </w:tcBorders>
            <w:shd w:val="clear" w:color="000000" w:fill="FFFFFF"/>
            <w:noWrap/>
            <w:vAlign w:val="bottom"/>
            <w:hideMark/>
          </w:tcPr>
          <w:p w14:paraId="2853FD6D" w14:textId="77777777" w:rsidR="00E25284" w:rsidRPr="00CE5F73" w:rsidRDefault="00E25284" w:rsidP="00F870A8">
            <w:pPr>
              <w:spacing w:after="0"/>
              <w:jc w:val="right"/>
              <w:rPr>
                <w:rFonts w:eastAsia="Times New Roman"/>
                <w:color w:val="000000"/>
                <w:sz w:val="22"/>
                <w:szCs w:val="22"/>
              </w:rPr>
            </w:pPr>
            <w:r w:rsidRPr="00CE5F73">
              <w:rPr>
                <w:rFonts w:eastAsia="Times New Roman"/>
                <w:color w:val="000000"/>
                <w:sz w:val="22"/>
                <w:szCs w:val="22"/>
              </w:rPr>
              <w:t>44,6%</w:t>
            </w:r>
          </w:p>
        </w:tc>
      </w:tr>
      <w:tr w:rsidR="00E25284" w:rsidRPr="00E25284" w14:paraId="6F9AD10B" w14:textId="77777777" w:rsidTr="00CE5F73">
        <w:trPr>
          <w:trHeight w:val="270"/>
        </w:trPr>
        <w:tc>
          <w:tcPr>
            <w:tcW w:w="3239" w:type="dxa"/>
            <w:tcBorders>
              <w:top w:val="nil"/>
              <w:left w:val="nil"/>
              <w:bottom w:val="nil"/>
              <w:right w:val="nil"/>
            </w:tcBorders>
            <w:shd w:val="clear" w:color="000000" w:fill="FFFFFF"/>
            <w:noWrap/>
            <w:hideMark/>
          </w:tcPr>
          <w:p w14:paraId="3444C236" w14:textId="77777777" w:rsidR="00E25284" w:rsidRPr="00CE5F73" w:rsidRDefault="00E25284" w:rsidP="00E25284">
            <w:pPr>
              <w:spacing w:after="0"/>
              <w:rPr>
                <w:rFonts w:eastAsia="Times New Roman"/>
                <w:color w:val="000000"/>
                <w:sz w:val="16"/>
                <w:szCs w:val="16"/>
              </w:rPr>
            </w:pPr>
            <w:r w:rsidRPr="00CE5F73">
              <w:rPr>
                <w:rFonts w:eastAsia="Times New Roman"/>
                <w:color w:val="000000"/>
                <w:sz w:val="16"/>
                <w:szCs w:val="16"/>
              </w:rPr>
              <w:t>Kelda: Hagstova Føroya</w:t>
            </w:r>
          </w:p>
        </w:tc>
        <w:tc>
          <w:tcPr>
            <w:tcW w:w="1108" w:type="dxa"/>
            <w:tcBorders>
              <w:top w:val="nil"/>
              <w:left w:val="nil"/>
              <w:bottom w:val="nil"/>
              <w:right w:val="nil"/>
            </w:tcBorders>
            <w:shd w:val="clear" w:color="000000" w:fill="FFFFFF"/>
            <w:noWrap/>
            <w:vAlign w:val="bottom"/>
            <w:hideMark/>
          </w:tcPr>
          <w:p w14:paraId="4CDB6144" w14:textId="77777777" w:rsidR="00E25284" w:rsidRPr="00CE5F73" w:rsidRDefault="00E25284" w:rsidP="00E25284">
            <w:pPr>
              <w:spacing w:after="0"/>
              <w:rPr>
                <w:rFonts w:eastAsia="Times New Roman"/>
                <w:color w:val="000000"/>
                <w:sz w:val="22"/>
                <w:szCs w:val="22"/>
              </w:rPr>
            </w:pPr>
            <w:r w:rsidRPr="00CE5F73">
              <w:rPr>
                <w:rFonts w:eastAsia="Times New Roman"/>
                <w:color w:val="000000"/>
                <w:sz w:val="22"/>
                <w:szCs w:val="22"/>
              </w:rPr>
              <w:t> </w:t>
            </w:r>
          </w:p>
        </w:tc>
        <w:tc>
          <w:tcPr>
            <w:tcW w:w="1108" w:type="dxa"/>
            <w:tcBorders>
              <w:top w:val="nil"/>
              <w:left w:val="nil"/>
              <w:bottom w:val="nil"/>
              <w:right w:val="nil"/>
            </w:tcBorders>
            <w:shd w:val="clear" w:color="000000" w:fill="FFFFFF"/>
            <w:noWrap/>
            <w:vAlign w:val="bottom"/>
            <w:hideMark/>
          </w:tcPr>
          <w:p w14:paraId="172F4AC4" w14:textId="77777777" w:rsidR="00E25284" w:rsidRPr="00CE5F73" w:rsidRDefault="00E25284" w:rsidP="00E25284">
            <w:pPr>
              <w:spacing w:after="0"/>
              <w:rPr>
                <w:rFonts w:eastAsia="Times New Roman"/>
                <w:color w:val="000000"/>
                <w:sz w:val="22"/>
                <w:szCs w:val="22"/>
              </w:rPr>
            </w:pPr>
            <w:r w:rsidRPr="00CE5F73">
              <w:rPr>
                <w:rFonts w:eastAsia="Times New Roman"/>
                <w:color w:val="000000"/>
                <w:sz w:val="22"/>
                <w:szCs w:val="22"/>
              </w:rPr>
              <w:t> </w:t>
            </w:r>
          </w:p>
        </w:tc>
        <w:tc>
          <w:tcPr>
            <w:tcW w:w="1108" w:type="dxa"/>
            <w:tcBorders>
              <w:top w:val="nil"/>
              <w:left w:val="nil"/>
              <w:bottom w:val="nil"/>
              <w:right w:val="nil"/>
            </w:tcBorders>
            <w:shd w:val="clear" w:color="000000" w:fill="FFFFFF"/>
            <w:noWrap/>
            <w:vAlign w:val="bottom"/>
            <w:hideMark/>
          </w:tcPr>
          <w:p w14:paraId="0C540B9C" w14:textId="77777777" w:rsidR="00E25284" w:rsidRPr="00CE5F73" w:rsidRDefault="00E25284" w:rsidP="00E25284">
            <w:pPr>
              <w:spacing w:after="0"/>
              <w:rPr>
                <w:rFonts w:eastAsia="Times New Roman"/>
                <w:color w:val="000000"/>
                <w:sz w:val="22"/>
                <w:szCs w:val="22"/>
              </w:rPr>
            </w:pPr>
            <w:r w:rsidRPr="00CE5F73">
              <w:rPr>
                <w:rFonts w:eastAsia="Times New Roman"/>
                <w:color w:val="000000"/>
                <w:sz w:val="22"/>
                <w:szCs w:val="22"/>
              </w:rPr>
              <w:t> </w:t>
            </w:r>
          </w:p>
        </w:tc>
        <w:tc>
          <w:tcPr>
            <w:tcW w:w="1108" w:type="dxa"/>
            <w:tcBorders>
              <w:top w:val="nil"/>
              <w:left w:val="nil"/>
              <w:bottom w:val="nil"/>
              <w:right w:val="nil"/>
            </w:tcBorders>
            <w:shd w:val="clear" w:color="000000" w:fill="FFFFFF"/>
            <w:noWrap/>
            <w:vAlign w:val="bottom"/>
            <w:hideMark/>
          </w:tcPr>
          <w:p w14:paraId="0F4E2150" w14:textId="77777777" w:rsidR="00E25284" w:rsidRPr="00CE5F73" w:rsidRDefault="00E25284" w:rsidP="00E25284">
            <w:pPr>
              <w:spacing w:after="0"/>
              <w:rPr>
                <w:rFonts w:eastAsia="Times New Roman"/>
                <w:color w:val="000000"/>
                <w:sz w:val="22"/>
                <w:szCs w:val="22"/>
              </w:rPr>
            </w:pPr>
            <w:r w:rsidRPr="00CE5F73">
              <w:rPr>
                <w:rFonts w:eastAsia="Times New Roman"/>
                <w:color w:val="000000"/>
                <w:sz w:val="22"/>
                <w:szCs w:val="22"/>
              </w:rPr>
              <w:t> </w:t>
            </w:r>
          </w:p>
        </w:tc>
        <w:tc>
          <w:tcPr>
            <w:tcW w:w="1220" w:type="dxa"/>
            <w:tcBorders>
              <w:top w:val="nil"/>
              <w:left w:val="nil"/>
              <w:bottom w:val="nil"/>
              <w:right w:val="nil"/>
            </w:tcBorders>
            <w:shd w:val="clear" w:color="000000" w:fill="FFFFFF"/>
            <w:noWrap/>
            <w:vAlign w:val="bottom"/>
            <w:hideMark/>
          </w:tcPr>
          <w:p w14:paraId="4360B209" w14:textId="77777777" w:rsidR="00E25284" w:rsidRPr="00CE5F73" w:rsidRDefault="00E25284" w:rsidP="00E25284">
            <w:pPr>
              <w:spacing w:after="0"/>
              <w:rPr>
                <w:rFonts w:eastAsia="Times New Roman"/>
                <w:color w:val="000000"/>
                <w:sz w:val="22"/>
                <w:szCs w:val="22"/>
              </w:rPr>
            </w:pPr>
            <w:r w:rsidRPr="00CE5F73">
              <w:rPr>
                <w:rFonts w:eastAsia="Times New Roman"/>
                <w:color w:val="000000"/>
                <w:sz w:val="22"/>
                <w:szCs w:val="22"/>
              </w:rPr>
              <w:t> </w:t>
            </w:r>
          </w:p>
        </w:tc>
      </w:tr>
    </w:tbl>
    <w:p w14:paraId="49CE94FE" w14:textId="662A0328" w:rsidR="00E25284" w:rsidRDefault="00E25284" w:rsidP="009A78E7">
      <w:pPr>
        <w:spacing w:after="0"/>
        <w:jc w:val="both"/>
      </w:pPr>
    </w:p>
    <w:p w14:paraId="35AD4795" w14:textId="4C88CA17" w:rsidR="00A64086" w:rsidRPr="000E4A93" w:rsidRDefault="00A64086" w:rsidP="00A64086">
      <w:pPr>
        <w:spacing w:after="0"/>
        <w:jc w:val="both"/>
        <w:rPr>
          <w:b/>
          <w:bCs/>
        </w:rPr>
      </w:pPr>
      <w:r>
        <w:t xml:space="preserve">Alifyritøkurnar hava gjørt stórar íløgur seinastu árini, og útlit eru tí fyri, at virðið </w:t>
      </w:r>
      <w:r w:rsidR="00CE5F73">
        <w:t>á</w:t>
      </w:r>
      <w:r>
        <w:t xml:space="preserve"> laksaútflutninginum økist uppaftur meira komandi </w:t>
      </w:r>
      <w:r w:rsidR="00CE5F73">
        <w:t>árini</w:t>
      </w:r>
      <w:r>
        <w:t xml:space="preserve">. Eftir ætlan fer alivinnan at gera </w:t>
      </w:r>
      <w:r w:rsidR="00CE5F73">
        <w:t xml:space="preserve">stórar </w:t>
      </w:r>
      <w:r>
        <w:t>íløgur</w:t>
      </w:r>
      <w:r w:rsidR="00A60791">
        <w:t xml:space="preserve"> </w:t>
      </w:r>
      <w:r w:rsidR="00CE5F73">
        <w:t>næstu</w:t>
      </w:r>
      <w:r>
        <w:t xml:space="preserve"> árini.</w:t>
      </w:r>
    </w:p>
    <w:p w14:paraId="47FCD97A" w14:textId="4EBA257D" w:rsidR="00A64086" w:rsidRDefault="00A64086" w:rsidP="00A64086">
      <w:pPr>
        <w:spacing w:after="0"/>
        <w:jc w:val="both"/>
      </w:pPr>
    </w:p>
    <w:p w14:paraId="60FA87BB" w14:textId="1E3075AB" w:rsidR="000A772F" w:rsidRDefault="001340A1" w:rsidP="000A772F">
      <w:pPr>
        <w:spacing w:after="0"/>
        <w:jc w:val="both"/>
      </w:pPr>
      <w:r>
        <w:t>Tá landið ger</w:t>
      </w:r>
      <w:r w:rsidR="00D70150">
        <w:t xml:space="preserve"> av</w:t>
      </w:r>
      <w:r>
        <w:t xml:space="preserve"> at hækka loyvisgjaldið á alivinnuna, er neyðugt at gera tað á ein skynsaman hátt, soleiðis at alivinnan eisini framhaldandi verður ein av høvuðssúlunum undir føroyska búskapinum. </w:t>
      </w:r>
      <w:r w:rsidR="000A772F">
        <w:t>Gjaldið skal síggjast sum eitt gjald á tann serstaka vinningin, sum vinnulig serrættindi hava við sær. Hóast talan kann verða um eina munandi hækking av gjaldinum, metir landsstýrið kortini, at betri parturin av tilfeingisvirðinum framhaldandi verður hjá alifyritøkunum. Landsstýrið met</w:t>
      </w:r>
      <w:r w:rsidR="00841361">
        <w:t>i</w:t>
      </w:r>
      <w:r w:rsidR="000A772F">
        <w:t>r, at hóast gjaldið hækkar, so megnar vinnan framvegis at gera íløgur, sum eru neyðugar fyri at tryggja áhaldandi vøkstur.</w:t>
      </w:r>
    </w:p>
    <w:p w14:paraId="56BFD47E" w14:textId="77777777" w:rsidR="00E60021" w:rsidRPr="000A129D" w:rsidRDefault="00E60021" w:rsidP="000A129D">
      <w:pPr>
        <w:spacing w:after="0"/>
        <w:jc w:val="both"/>
        <w:rPr>
          <w:b/>
        </w:rPr>
      </w:pPr>
    </w:p>
    <w:p w14:paraId="1847D904" w14:textId="77777777" w:rsidR="00E60021" w:rsidRPr="000A129D" w:rsidRDefault="00E60021" w:rsidP="000A129D">
      <w:pPr>
        <w:spacing w:after="0"/>
        <w:rPr>
          <w:b/>
        </w:rPr>
      </w:pPr>
      <w:r w:rsidRPr="000A129D">
        <w:rPr>
          <w:b/>
        </w:rPr>
        <w:t>1.2. Galdandi lóggáva</w:t>
      </w:r>
    </w:p>
    <w:p w14:paraId="781BDE74" w14:textId="5B82F4F5" w:rsidR="00522F30" w:rsidRDefault="00522F30" w:rsidP="00522F30">
      <w:pPr>
        <w:spacing w:after="0"/>
        <w:jc w:val="both"/>
      </w:pPr>
      <w:r>
        <w:t xml:space="preserve">Galdandi lóg á økinum er løgtingslóg nr. 64 frá 15. mai 2014 um loyvisgjald á alivinnu, sum broytt við løgtingslóg nr. 162 frá 24. desember 2015, løgtingslóg nr. 180 frá 21. desember 2018 og løgtingslóg nr. 159 frá 10. desember 2021. </w:t>
      </w:r>
    </w:p>
    <w:p w14:paraId="603205DE" w14:textId="77777777" w:rsidR="00522F30" w:rsidRDefault="00522F30" w:rsidP="00522F30">
      <w:pPr>
        <w:spacing w:after="0"/>
        <w:jc w:val="both"/>
      </w:pPr>
    </w:p>
    <w:p w14:paraId="59BDC418" w14:textId="77777777" w:rsidR="00E35818" w:rsidRDefault="00E35818">
      <w:pPr>
        <w:spacing w:after="0"/>
        <w:rPr>
          <w:i/>
          <w:iCs/>
        </w:rPr>
      </w:pPr>
      <w:r>
        <w:rPr>
          <w:i/>
          <w:iCs/>
        </w:rPr>
        <w:br w:type="page"/>
      </w:r>
    </w:p>
    <w:p w14:paraId="7A180E0E" w14:textId="18CBB3CF" w:rsidR="00522F30" w:rsidRPr="00F00204" w:rsidRDefault="00522F30" w:rsidP="00522F30">
      <w:pPr>
        <w:spacing w:after="0"/>
        <w:jc w:val="both"/>
        <w:rPr>
          <w:i/>
          <w:iCs/>
        </w:rPr>
      </w:pPr>
      <w:r w:rsidRPr="00F00204">
        <w:rPr>
          <w:i/>
          <w:iCs/>
        </w:rPr>
        <w:lastRenderedPageBreak/>
        <w:t>Stutt um lógina</w:t>
      </w:r>
    </w:p>
    <w:p w14:paraId="07E02B52" w14:textId="77777777" w:rsidR="00522F30" w:rsidRDefault="00522F30" w:rsidP="00522F30">
      <w:pPr>
        <w:spacing w:after="0"/>
        <w:jc w:val="both"/>
      </w:pPr>
      <w:r>
        <w:t xml:space="preserve">Í galdandi lóg er grundarlagið fyri tøkugjaldinum mánaðarliga tøkan av alifiski í kruvdari vekt, faldað við miðal altjóða marknaðarprísinum í sama mánaði. Gjaldið verður ásett sum ávíst prosent av gjaldsgrundarlagnum. </w:t>
      </w:r>
    </w:p>
    <w:p w14:paraId="3DEAA28F" w14:textId="77777777" w:rsidR="00522F30" w:rsidRDefault="00522F30" w:rsidP="00522F30">
      <w:pPr>
        <w:spacing w:after="0"/>
        <w:jc w:val="both"/>
      </w:pPr>
    </w:p>
    <w:p w14:paraId="6D6B2382" w14:textId="77777777" w:rsidR="00522F30" w:rsidRDefault="00522F30" w:rsidP="00522F30">
      <w:pPr>
        <w:spacing w:after="0"/>
        <w:jc w:val="both"/>
      </w:pPr>
      <w:r>
        <w:t xml:space="preserve">Tað er umráðandi at hava fyri eyga, at loyvisgjaldið á alivinnuna er ikki at meta sum ein skattur, men heldur sum eitt nýtslugjald, sum landsmyndugleikarnir áleggja fyri rættin at gagnnýta føroysku aliøkini. </w:t>
      </w:r>
    </w:p>
    <w:p w14:paraId="423E3115" w14:textId="77777777" w:rsidR="00522F30" w:rsidRDefault="00522F30" w:rsidP="00522F30">
      <w:pPr>
        <w:spacing w:after="0"/>
        <w:jc w:val="both"/>
      </w:pPr>
    </w:p>
    <w:p w14:paraId="66EDBA09" w14:textId="77777777" w:rsidR="00522F30" w:rsidRDefault="00522F30" w:rsidP="00522F30">
      <w:pPr>
        <w:spacing w:after="0"/>
        <w:jc w:val="both"/>
      </w:pPr>
      <w:r>
        <w:t>Meginreglan í tøkugjaldsskipanini er, at jú hægri alifiskaprísurin er, tess hægri er gjaldið:</w:t>
      </w:r>
    </w:p>
    <w:p w14:paraId="4906C914" w14:textId="77777777" w:rsidR="00522F30" w:rsidRDefault="00522F30" w:rsidP="00522F30">
      <w:pPr>
        <w:spacing w:after="0"/>
        <w:jc w:val="both"/>
      </w:pPr>
    </w:p>
    <w:p w14:paraId="245CEDFE" w14:textId="77777777" w:rsidR="00522F30" w:rsidRDefault="00522F30" w:rsidP="007E2AF3">
      <w:pPr>
        <w:pStyle w:val="Listeafsnit"/>
        <w:numPr>
          <w:ilvl w:val="0"/>
          <w:numId w:val="13"/>
        </w:numPr>
        <w:spacing w:after="0"/>
        <w:jc w:val="both"/>
      </w:pPr>
      <w:r>
        <w:t>Er prísurin 36. kr. kilo ella hægri, er gjaldið 5%.</w:t>
      </w:r>
    </w:p>
    <w:p w14:paraId="1C22E811" w14:textId="77777777" w:rsidR="00522F30" w:rsidRDefault="00522F30" w:rsidP="007E2AF3">
      <w:pPr>
        <w:pStyle w:val="Listeafsnit"/>
        <w:numPr>
          <w:ilvl w:val="0"/>
          <w:numId w:val="13"/>
        </w:numPr>
        <w:spacing w:after="0"/>
        <w:jc w:val="both"/>
      </w:pPr>
      <w:r>
        <w:t>Er prísurin millum 32 kr. og 36. kr. kilo, er gjaldið 2,5%.</w:t>
      </w:r>
    </w:p>
    <w:p w14:paraId="022D8FE6" w14:textId="77777777" w:rsidR="00522F30" w:rsidRDefault="00522F30" w:rsidP="007E2AF3">
      <w:pPr>
        <w:pStyle w:val="Listeafsnit"/>
        <w:numPr>
          <w:ilvl w:val="0"/>
          <w:numId w:val="13"/>
        </w:numPr>
        <w:spacing w:after="0"/>
        <w:jc w:val="both"/>
      </w:pPr>
      <w:r>
        <w:t>Er prísurin lægri enn 32 kr. kilo, er gjaldið 0,5%.</w:t>
      </w:r>
    </w:p>
    <w:p w14:paraId="28F6151E" w14:textId="77777777" w:rsidR="00522F30" w:rsidRDefault="00522F30" w:rsidP="00522F30">
      <w:pPr>
        <w:spacing w:after="0"/>
        <w:jc w:val="both"/>
      </w:pPr>
    </w:p>
    <w:p w14:paraId="0394D9F9" w14:textId="3E09FE38" w:rsidR="00522F30" w:rsidRDefault="00522F30" w:rsidP="00522F30">
      <w:pPr>
        <w:spacing w:after="0"/>
        <w:jc w:val="both"/>
      </w:pPr>
      <w:r>
        <w:t>Við átekning í løgtingsfíggjarlógini fyri fíggjarárið 202</w:t>
      </w:r>
      <w:r w:rsidR="00996F21">
        <w:t>3</w:t>
      </w:r>
      <w:r>
        <w:t xml:space="preserve"> er ásett, at mánaðarligi miðalspotprísurin í evrum fyri kruvdan laks sambært “Fish Pool Index” verður brúktur sum altjóða marknaðarprísur til útrokning av avgjaldsgrundarlagnum undir loyvisgjaldinum. </w:t>
      </w:r>
    </w:p>
    <w:p w14:paraId="007AE72C" w14:textId="77777777" w:rsidR="00522F30" w:rsidRDefault="00522F30" w:rsidP="00522F30">
      <w:pPr>
        <w:spacing w:after="0"/>
        <w:jc w:val="both"/>
      </w:pPr>
    </w:p>
    <w:p w14:paraId="060341EE" w14:textId="77777777" w:rsidR="00522F30" w:rsidRDefault="00522F30" w:rsidP="00522F30">
      <w:pPr>
        <w:spacing w:after="0"/>
        <w:jc w:val="both"/>
      </w:pPr>
      <w:r>
        <w:t xml:space="preserve">Umroknað verður til danskar krónur við at nýta sentralkursin hjá Danmarks Nationalbank. </w:t>
      </w:r>
    </w:p>
    <w:p w14:paraId="4604EAC1" w14:textId="77777777" w:rsidR="00522F30" w:rsidRDefault="00522F30" w:rsidP="00522F30">
      <w:pPr>
        <w:spacing w:after="0"/>
        <w:jc w:val="both"/>
      </w:pPr>
    </w:p>
    <w:p w14:paraId="45AEC24A" w14:textId="77777777" w:rsidR="00522F30" w:rsidRDefault="00522F30" w:rsidP="00522F30">
      <w:pPr>
        <w:spacing w:after="0"/>
        <w:jc w:val="both"/>
      </w:pPr>
      <w:r>
        <w:t>Umframt loyvisgjaldið á alivinnu rinda fyritøkur í alivinnuni eisini vanligan partafelagsskatt og kapitalvinningsskatt á sama hátt, sum aðrar fyritøkur. Eigarar av alifyritøkum rinda skatt av vinningsbýti, tá ið fyritøkurnar rinda út vinningsbýti til eigararnar.</w:t>
      </w:r>
    </w:p>
    <w:p w14:paraId="5C60791B" w14:textId="77777777" w:rsidR="00522F30" w:rsidRDefault="00522F30" w:rsidP="00522F30">
      <w:pPr>
        <w:spacing w:after="0"/>
        <w:jc w:val="both"/>
      </w:pPr>
    </w:p>
    <w:p w14:paraId="2991A4EC" w14:textId="27644D6A" w:rsidR="004462B9" w:rsidRDefault="004462B9" w:rsidP="00522F30">
      <w:pPr>
        <w:spacing w:after="0"/>
        <w:jc w:val="both"/>
      </w:pPr>
    </w:p>
    <w:p w14:paraId="3DEC8F69" w14:textId="0CA0EF5F" w:rsidR="004462B9" w:rsidRDefault="004462B9" w:rsidP="004462B9">
      <w:pPr>
        <w:spacing w:after="0"/>
        <w:jc w:val="both"/>
      </w:pPr>
      <w:r>
        <w:t xml:space="preserve">Sambært § 33, nr. 18 </w:t>
      </w:r>
      <w:r w:rsidR="00407F5F">
        <w:t xml:space="preserve">í skattalógini </w:t>
      </w:r>
      <w:r>
        <w:t>kunnu alifyritøkur draga loyvisgjaldið frá skattskyldugu inntøkuni.</w:t>
      </w:r>
    </w:p>
    <w:p w14:paraId="4DFAAA55" w14:textId="77777777" w:rsidR="004462B9" w:rsidRPr="000A129D" w:rsidRDefault="004462B9" w:rsidP="00522F30">
      <w:pPr>
        <w:spacing w:after="0"/>
        <w:jc w:val="both"/>
      </w:pPr>
    </w:p>
    <w:p w14:paraId="121D1B0B" w14:textId="77777777" w:rsidR="00E60021" w:rsidRPr="000A129D" w:rsidRDefault="00E60021" w:rsidP="000A129D">
      <w:pPr>
        <w:spacing w:after="0"/>
        <w:jc w:val="both"/>
        <w:rPr>
          <w:b/>
        </w:rPr>
      </w:pPr>
    </w:p>
    <w:p w14:paraId="01A31E83" w14:textId="77777777" w:rsidR="00E60021" w:rsidRPr="000A129D" w:rsidRDefault="00E60021" w:rsidP="000A129D">
      <w:pPr>
        <w:spacing w:after="0"/>
        <w:rPr>
          <w:b/>
        </w:rPr>
      </w:pPr>
      <w:r w:rsidRPr="000A129D">
        <w:rPr>
          <w:b/>
        </w:rPr>
        <w:t>1.3. Endamálið við uppskotinum</w:t>
      </w:r>
    </w:p>
    <w:p w14:paraId="2B65DFF5" w14:textId="77777777" w:rsidR="00522F30" w:rsidRDefault="00522F30" w:rsidP="00522F30">
      <w:pPr>
        <w:spacing w:after="0"/>
        <w:jc w:val="both"/>
      </w:pPr>
      <w:r>
        <w:t>Uppskotið hevur til endamáls at tillaga lógina um loyvisgjald, soleiðis at alifyritøkurnar skulu gjalda lutfalsliga meira, tá laksaprísurin er høgur. Meginreglan er framvegis, at jú hægri alifiskaprísurin er, tess hægri er gjaldið. Ásett verður eisini, at framleiðslukostnaðurin skal útroknast árliga. Við átekning í fíggjarlógini verður ásett, hvør framleiðslukostnaður verður nýttur. Frameftir verður minstagjaldið á 0,5% einans goldið, tá miðal altjóða marknaðarprisurin er lægri enn framleiðslukostnaðurin. Er prísurin hægri enn framleiðslukostnaðurin, byrjar skipanin við stigvísum hækkingum.</w:t>
      </w:r>
    </w:p>
    <w:p w14:paraId="7E4D920B" w14:textId="2B350AFD" w:rsidR="00522F30" w:rsidRDefault="004B1673" w:rsidP="004B1673">
      <w:pPr>
        <w:tabs>
          <w:tab w:val="left" w:pos="2628"/>
        </w:tabs>
        <w:spacing w:after="0"/>
        <w:jc w:val="both"/>
      </w:pPr>
      <w:r>
        <w:tab/>
      </w:r>
    </w:p>
    <w:p w14:paraId="00E89A40" w14:textId="77777777" w:rsidR="00522F30" w:rsidRDefault="00522F30" w:rsidP="00522F30">
      <w:pPr>
        <w:spacing w:after="0"/>
        <w:jc w:val="both"/>
      </w:pPr>
      <w:r>
        <w:t xml:space="preserve">Framleiðslukostnaðurin at nýta fyri 2023, sum byggir á roknskapartøl frá 2021, er útroknaður til at vera </w:t>
      </w:r>
      <w:r w:rsidRPr="00407F5F">
        <w:t>39,15 kr.</w:t>
      </w:r>
      <w:r>
        <w:t xml:space="preserve"> fyri kilo.</w:t>
      </w:r>
    </w:p>
    <w:p w14:paraId="76722C3D" w14:textId="77777777" w:rsidR="00522F30" w:rsidRDefault="00522F30" w:rsidP="00522F30">
      <w:pPr>
        <w:spacing w:after="0"/>
        <w:jc w:val="both"/>
      </w:pPr>
    </w:p>
    <w:p w14:paraId="151819B3" w14:textId="77777777" w:rsidR="00522F30" w:rsidRDefault="00522F30" w:rsidP="00522F30">
      <w:pPr>
        <w:spacing w:after="0"/>
        <w:jc w:val="both"/>
      </w:pPr>
      <w:r>
        <w:t>Nógv atlit eru, tá avgerð skal takast um, hvussu nógv alifyritøkurnar skulu rinda í tøkugjaldi.</w:t>
      </w:r>
    </w:p>
    <w:p w14:paraId="589E9881" w14:textId="77777777" w:rsidR="00522F30" w:rsidRDefault="00522F30" w:rsidP="00522F30">
      <w:pPr>
        <w:spacing w:after="0"/>
        <w:jc w:val="both"/>
      </w:pPr>
    </w:p>
    <w:p w14:paraId="574D7AB5" w14:textId="736ED455" w:rsidR="00522F30" w:rsidRDefault="00522F30" w:rsidP="00522F30">
      <w:pPr>
        <w:spacing w:after="0"/>
        <w:jc w:val="both"/>
      </w:pPr>
      <w:r>
        <w:t>Í frágreiðing frá landsstýrisins skattanevnd, latin landsstýrinum 1. desember 2017, varð mett, at  ein  vansi  við  verandi  loyvisgjaldi  er,  at  landið  fær  lutfalsliga  lítlan  part  av  inntøkunum sammett við vinningin í alivinnuni, tá ið altjóða laksaprísir eru høgir. Mælt varð til at broyta loyvisgjaldið á alivinnu soleiðis, at landið fær inn størri part av inntøkunum sammett við í dag – serliga tá ið altjóða laksaprísir eru høgir.</w:t>
      </w:r>
    </w:p>
    <w:p w14:paraId="7DD4B6D0" w14:textId="77777777" w:rsidR="00407F5F" w:rsidRDefault="00407F5F" w:rsidP="00522F30">
      <w:pPr>
        <w:spacing w:after="0"/>
        <w:jc w:val="both"/>
      </w:pPr>
    </w:p>
    <w:p w14:paraId="2E298503" w14:textId="77777777" w:rsidR="00522F30" w:rsidRDefault="00522F30" w:rsidP="00522F30">
      <w:pPr>
        <w:spacing w:after="0"/>
        <w:jc w:val="both"/>
      </w:pPr>
      <w:r>
        <w:t>Skattanevndin mælti til, at loyvisgjaldið varð broytt til eitt gjald á tilfeingisrentuna. Gjaldið á tilfeingisrentuna skuldi grundast á mettu tilfeingisrentuna. Mett tilfeingisrenta er staðfesta avkastið (vinningurin), sum er eftir, tá ið framleiðslukostnaður og mettur vanligur vinningur eru drignir frá staðfesta umsetninginum. Gjaldið á mettu tilfeingisrentuna skuldi eftir uppskotinum hjá skattanevndini verða 80 prosent av mettu tilfeingisrentuni.</w:t>
      </w:r>
    </w:p>
    <w:p w14:paraId="09E08342" w14:textId="77777777" w:rsidR="00522F30" w:rsidRDefault="00522F30" w:rsidP="00522F30">
      <w:pPr>
        <w:spacing w:after="0"/>
        <w:jc w:val="both"/>
      </w:pPr>
    </w:p>
    <w:p w14:paraId="0518332D" w14:textId="77777777" w:rsidR="00522F30" w:rsidRDefault="00522F30" w:rsidP="00522F30">
      <w:pPr>
        <w:spacing w:after="0"/>
        <w:jc w:val="both"/>
      </w:pPr>
      <w:r>
        <w:t xml:space="preserve">Hóast tilmælini frá skattanevndini í 2017 vóru greið, so verður mett, at tað ikki er skynsamt at fara so ógvusliga til verka, sum skattanevndin </w:t>
      </w:r>
      <w:r w:rsidRPr="009C7579">
        <w:t>skjýtur</w:t>
      </w:r>
      <w:r>
        <w:t xml:space="preserve"> upp. Skilabetri er, at skipanin verður tillagað soleiðis, at føroysku alifyritøkurnar við rímiligari vissu kunnu leggja til rættis virksemið frameftir, uttan alt ov stórar stoytir av øktum gjøldum. Tað verður altíð ein politiskur spurningur um, hvussu nógv alifyritøkurnar skulu gjalda fyri rættin at gagnnýta føroysku aliøkini, og tí eigur skipanin javnan at verða eftirmett. </w:t>
      </w:r>
    </w:p>
    <w:p w14:paraId="0C7001AB" w14:textId="77777777" w:rsidR="00522F30" w:rsidRDefault="00522F30" w:rsidP="00522F30">
      <w:pPr>
        <w:spacing w:after="0"/>
        <w:jc w:val="both"/>
      </w:pPr>
    </w:p>
    <w:p w14:paraId="3FFCB910" w14:textId="77777777" w:rsidR="00522F30" w:rsidRDefault="00522F30" w:rsidP="00522F30">
      <w:pPr>
        <w:spacing w:after="0"/>
        <w:jc w:val="both"/>
      </w:pPr>
      <w:r>
        <w:t>Harumframt verður mett, at bæði fyri alivinnu og fyri umsitingina av skipanini er eitt  nýtslugjald/royalty ein einfaldari skipan enn eitt gjald á tilfeingisrentuna, sum er ein tung skipan at umsita.</w:t>
      </w:r>
    </w:p>
    <w:p w14:paraId="5D5480A3" w14:textId="77777777" w:rsidR="00522F30" w:rsidRDefault="00522F30" w:rsidP="00522F30">
      <w:pPr>
        <w:spacing w:after="0"/>
        <w:jc w:val="both"/>
      </w:pPr>
    </w:p>
    <w:p w14:paraId="0DD7E7A7" w14:textId="77777777" w:rsidR="00522F30" w:rsidRDefault="00522F30" w:rsidP="00522F30">
      <w:pPr>
        <w:spacing w:after="0"/>
        <w:jc w:val="both"/>
      </w:pPr>
      <w:r>
        <w:t>Skotið verður tí upp, at verandi skipan við tøkugjaldi heldur verður endurskoðað og tillagað.</w:t>
      </w:r>
    </w:p>
    <w:p w14:paraId="2EDE9D81" w14:textId="77777777" w:rsidR="00522F30" w:rsidRDefault="00522F30" w:rsidP="00522F30">
      <w:pPr>
        <w:spacing w:after="0"/>
        <w:jc w:val="both"/>
      </w:pPr>
    </w:p>
    <w:p w14:paraId="2D4D1B4E" w14:textId="79C66966" w:rsidR="00522F30" w:rsidRDefault="00522F30" w:rsidP="00522F30">
      <w:pPr>
        <w:spacing w:after="0"/>
        <w:jc w:val="both"/>
      </w:pPr>
      <w:r>
        <w:t>Eftir áheitan f</w:t>
      </w:r>
      <w:r w:rsidR="00841361">
        <w:t>r</w:t>
      </w:r>
      <w:r>
        <w:t>á TAKS verður eisini skotið upp at gera eina tekniska broyting í § 2, stk. 7.</w:t>
      </w:r>
    </w:p>
    <w:p w14:paraId="021D5715" w14:textId="77777777" w:rsidR="00522F30" w:rsidRDefault="00522F30" w:rsidP="00522F30">
      <w:pPr>
        <w:spacing w:after="0"/>
        <w:jc w:val="both"/>
      </w:pPr>
    </w:p>
    <w:p w14:paraId="3AA268A4" w14:textId="77777777" w:rsidR="00522F30" w:rsidRDefault="00522F30" w:rsidP="00522F30">
      <w:pPr>
        <w:spacing w:after="0"/>
        <w:jc w:val="both"/>
      </w:pPr>
      <w:r>
        <w:t>Í § 2, stk. 7 í løgtingslógini um loyvisgjald á alivinnu er ásett, at tøkugjaldið fellur til gjaldingar í fýra gjøldum ávikavist 1. februar, 1. mai, 1. august og 1. oktober við gjaldfreist tann 20. í mánaðinum. Skotið verður upp, at fjórða árliga gjaldið skal fella til gjaldingar 1. november heldur enn 1. oktober.</w:t>
      </w:r>
    </w:p>
    <w:p w14:paraId="03953546" w14:textId="77777777" w:rsidR="00522F30" w:rsidRDefault="00522F30" w:rsidP="00522F30">
      <w:pPr>
        <w:spacing w:after="0"/>
        <w:jc w:val="both"/>
      </w:pPr>
    </w:p>
    <w:p w14:paraId="0E2972CF" w14:textId="77777777" w:rsidR="00522F30" w:rsidRDefault="00522F30" w:rsidP="00522F30">
      <w:pPr>
        <w:spacing w:after="0"/>
        <w:jc w:val="both"/>
      </w:pPr>
      <w:r>
        <w:t xml:space="preserve">Longu tá lógin varð samtykt á fyrsta sinni, var ætlanin, at gjaldingin av tøkugjaldinum skuldi gerast pr. ársfjórðing eins og við meirvirðisgjaldinum, t.e. at fjórða gjaldið skuldi falla til gjaldingar 1. november við gjaldfreist tann 20. í mánaðinum. </w:t>
      </w:r>
    </w:p>
    <w:p w14:paraId="67262166" w14:textId="77777777" w:rsidR="00522F30" w:rsidRDefault="00522F30" w:rsidP="00522F30">
      <w:pPr>
        <w:spacing w:after="0"/>
        <w:jc w:val="both"/>
      </w:pPr>
    </w:p>
    <w:p w14:paraId="3CDC3AB8" w14:textId="508D47A7" w:rsidR="00522F30" w:rsidRDefault="00522F30" w:rsidP="00522F30">
      <w:pPr>
        <w:spacing w:after="0"/>
        <w:jc w:val="both"/>
      </w:pPr>
      <w:r>
        <w:t>TAKS og alivinnan virka longu sum var lógin broytt, og tískil hevur henda tekniska broytingin hvørki fíggjarligar ella umsitingarligar avleiðingar fyri partarnar.</w:t>
      </w:r>
    </w:p>
    <w:p w14:paraId="5702AE94" w14:textId="1CF04699" w:rsidR="00ED2118" w:rsidRDefault="00ED2118" w:rsidP="00522F30">
      <w:pPr>
        <w:spacing w:after="0"/>
        <w:jc w:val="both"/>
      </w:pPr>
    </w:p>
    <w:p w14:paraId="48D12576" w14:textId="73830954" w:rsidR="00ED2118" w:rsidRDefault="00F40868" w:rsidP="00522F30">
      <w:pPr>
        <w:spacing w:after="0"/>
        <w:jc w:val="both"/>
      </w:pPr>
      <w:r>
        <w:t xml:space="preserve">Í </w:t>
      </w:r>
      <w:r w:rsidR="00ED2118">
        <w:t>§ 1, nr. 2</w:t>
      </w:r>
      <w:r>
        <w:t>,</w:t>
      </w:r>
      <w:r w:rsidR="00ED2118">
        <w:t xml:space="preserve"> eru smávegis broytingar gjørdar fyri greidleika</w:t>
      </w:r>
      <w:r>
        <w:t>ns</w:t>
      </w:r>
      <w:r w:rsidR="00ED2118">
        <w:t xml:space="preserve"> skyld. </w:t>
      </w:r>
    </w:p>
    <w:p w14:paraId="76FA6E7A" w14:textId="61A44B90" w:rsidR="00F00204" w:rsidRDefault="00F00204" w:rsidP="00522F30">
      <w:pPr>
        <w:spacing w:after="0"/>
        <w:jc w:val="both"/>
      </w:pPr>
    </w:p>
    <w:p w14:paraId="06CD2659" w14:textId="57DB92D8" w:rsidR="00590379" w:rsidRPr="00012F6F" w:rsidRDefault="00590379" w:rsidP="00522F30">
      <w:pPr>
        <w:spacing w:after="0"/>
        <w:jc w:val="both"/>
        <w:rPr>
          <w:i/>
          <w:iCs/>
        </w:rPr>
      </w:pPr>
      <w:r w:rsidRPr="00012F6F">
        <w:rPr>
          <w:i/>
          <w:iCs/>
        </w:rPr>
        <w:t>Inntøkur til kommunurnar</w:t>
      </w:r>
    </w:p>
    <w:p w14:paraId="45E8E04E" w14:textId="1FB31A06" w:rsidR="008F2EDE" w:rsidRDefault="00790631" w:rsidP="00522F30">
      <w:pPr>
        <w:spacing w:after="0"/>
        <w:jc w:val="both"/>
      </w:pPr>
      <w:r w:rsidRPr="00012F6F">
        <w:t>Í</w:t>
      </w:r>
      <w:r w:rsidR="00AD0E47" w:rsidRPr="00012F6F">
        <w:t xml:space="preserve"> </w:t>
      </w:r>
      <w:r w:rsidR="00F00204" w:rsidRPr="00012F6F">
        <w:t xml:space="preserve">§ 1, nr. </w:t>
      </w:r>
      <w:r w:rsidR="002A456F" w:rsidRPr="00012F6F">
        <w:t>3</w:t>
      </w:r>
      <w:r w:rsidR="0024414A" w:rsidRPr="00012F6F">
        <w:t xml:space="preserve">, stk. </w:t>
      </w:r>
      <w:r w:rsidR="002A456F" w:rsidRPr="00012F6F">
        <w:t>1</w:t>
      </w:r>
      <w:r w:rsidR="00F40868" w:rsidRPr="00012F6F">
        <w:t>,</w:t>
      </w:r>
      <w:r w:rsidR="0024414A" w:rsidRPr="00012F6F">
        <w:t xml:space="preserve"> verður</w:t>
      </w:r>
      <w:r w:rsidR="0024414A" w:rsidRPr="005F7D91">
        <w:t xml:space="preserve"> skotið upp</w:t>
      </w:r>
      <w:r w:rsidR="00AD0E47" w:rsidRPr="005F7D91">
        <w:t>,</w:t>
      </w:r>
      <w:r w:rsidR="0024414A" w:rsidRPr="005F7D91">
        <w:t xml:space="preserve"> at</w:t>
      </w:r>
      <w:r w:rsidR="00012F6F">
        <w:t xml:space="preserve"> upp til</w:t>
      </w:r>
      <w:r w:rsidR="0024414A" w:rsidRPr="005F7D91">
        <w:t xml:space="preserve"> 10% av inntøkunum frá gjaldinum f</w:t>
      </w:r>
      <w:r w:rsidR="008F2EDE">
        <w:t>a</w:t>
      </w:r>
      <w:r w:rsidR="0024414A" w:rsidRPr="005F7D91">
        <w:t>lla til kommunurnar</w:t>
      </w:r>
      <w:r w:rsidR="00012F6F">
        <w:t>, tó í minsta lagi 25 mió. kr. og í mesta lagi 5</w:t>
      </w:r>
      <w:r w:rsidR="003F2FE4">
        <w:t>0</w:t>
      </w:r>
      <w:r w:rsidR="00012F6F">
        <w:t xml:space="preserve"> mió. kr.</w:t>
      </w:r>
      <w:r w:rsidR="0024414A" w:rsidRPr="005F7D91">
        <w:t xml:space="preserve"> </w:t>
      </w:r>
      <w:r w:rsidR="00F452DF" w:rsidRPr="005F7D91">
        <w:t xml:space="preserve"> </w:t>
      </w:r>
      <w:r w:rsidR="00AD0E47" w:rsidRPr="005F7D91">
        <w:t xml:space="preserve">  </w:t>
      </w:r>
    </w:p>
    <w:p w14:paraId="5CB38ADB" w14:textId="6C7C4CB9" w:rsidR="008D3225" w:rsidRDefault="008D3225" w:rsidP="00522F30">
      <w:pPr>
        <w:spacing w:after="0"/>
        <w:jc w:val="both"/>
      </w:pPr>
    </w:p>
    <w:p w14:paraId="1A99065E" w14:textId="67034A00" w:rsidR="008D3225" w:rsidRDefault="00F40868" w:rsidP="009C7579">
      <w:pPr>
        <w:spacing w:after="0"/>
        <w:jc w:val="both"/>
      </w:pPr>
      <w:r>
        <w:t xml:space="preserve">Í </w:t>
      </w:r>
      <w:r w:rsidR="008D3225">
        <w:t>§ 1, nr. 3, stk. 2</w:t>
      </w:r>
      <w:r>
        <w:t>,</w:t>
      </w:r>
      <w:r w:rsidR="008D3225">
        <w:t xml:space="preserve"> verður skotið upp</w:t>
      </w:r>
      <w:r w:rsidR="00292A2A">
        <w:t>,</w:t>
      </w:r>
      <w:r w:rsidR="008D3225">
        <w:t xml:space="preserve"> </w:t>
      </w:r>
      <w:r w:rsidR="009C7579">
        <w:t>at landsstýrismaðurin í fíggjarmálum í kunngerð ásetur</w:t>
      </w:r>
      <w:r w:rsidR="008F2EDE">
        <w:t xml:space="preserve">, </w:t>
      </w:r>
      <w:r w:rsidR="008D3225">
        <w:t xml:space="preserve">hvussu peningurin frá gjaldinum </w:t>
      </w:r>
      <w:r w:rsidR="008F2EDE">
        <w:t>verður býttur</w:t>
      </w:r>
      <w:r w:rsidR="008D3225">
        <w:t xml:space="preserve"> millum kommunurnar. </w:t>
      </w:r>
    </w:p>
    <w:p w14:paraId="2F95EA25" w14:textId="5978D6A4" w:rsidR="00752B93" w:rsidRDefault="00752B93" w:rsidP="00752B93">
      <w:pPr>
        <w:spacing w:after="0"/>
        <w:jc w:val="both"/>
      </w:pPr>
    </w:p>
    <w:p w14:paraId="4914106B" w14:textId="77777777" w:rsidR="00AB6843" w:rsidRPr="00AB6843" w:rsidRDefault="00AB6843" w:rsidP="00AB6843">
      <w:pPr>
        <w:spacing w:after="0"/>
        <w:jc w:val="both"/>
      </w:pPr>
      <w:r w:rsidRPr="00AB6843">
        <w:t xml:space="preserve">Upphæddin verður ein liður í eini endurskoðari fígging av kommunalum uppgávum frá 2024 at rokna.   </w:t>
      </w:r>
    </w:p>
    <w:p w14:paraId="63745F65" w14:textId="77777777" w:rsidR="00AB6843" w:rsidRDefault="00AB6843" w:rsidP="00752B93">
      <w:pPr>
        <w:spacing w:after="0"/>
        <w:jc w:val="both"/>
      </w:pPr>
    </w:p>
    <w:p w14:paraId="784E78A1" w14:textId="100347E0" w:rsidR="00AD0E47" w:rsidRDefault="00012F6F" w:rsidP="000A129D">
      <w:pPr>
        <w:spacing w:after="0"/>
        <w:jc w:val="both"/>
      </w:pPr>
      <w:r>
        <w:t>Harumframt er ætlanin, at ein partur av inntøkunum frá tøkugjaldinum fara til at raðfesta gransking innan laksaaling. Áhaldandi gransking innan økið er ein týðandi liður í at tryggja lívfrøðilig</w:t>
      </w:r>
      <w:r w:rsidR="00195E4C">
        <w:t>a burðardygd</w:t>
      </w:r>
      <w:r>
        <w:t xml:space="preserve"> í vinnuni. </w:t>
      </w:r>
    </w:p>
    <w:p w14:paraId="63A15230" w14:textId="28DE1B86" w:rsidR="00AD0E47" w:rsidRDefault="00AD0E47" w:rsidP="000A129D">
      <w:pPr>
        <w:spacing w:after="0"/>
        <w:jc w:val="both"/>
      </w:pPr>
    </w:p>
    <w:p w14:paraId="3953CFBD" w14:textId="731234A6" w:rsidR="00E60021" w:rsidRPr="000A129D" w:rsidRDefault="00E60021" w:rsidP="000A129D">
      <w:pPr>
        <w:spacing w:after="0"/>
        <w:rPr>
          <w:b/>
        </w:rPr>
      </w:pPr>
      <w:r w:rsidRPr="000A129D">
        <w:rPr>
          <w:b/>
        </w:rPr>
        <w:lastRenderedPageBreak/>
        <w:t>1.4. Samandráttur av nýskipanini við uppskotinum</w:t>
      </w:r>
    </w:p>
    <w:p w14:paraId="12E069D6" w14:textId="54C4EFAA" w:rsidR="00522F30" w:rsidRDefault="00522F30" w:rsidP="00522F30">
      <w:pPr>
        <w:spacing w:after="0"/>
        <w:jc w:val="both"/>
      </w:pPr>
      <w:r>
        <w:t>Lógarbroytingin ger, at alifyritøkur skulu gjalda lutfalsliga hægri tøkugjald, tá laksaprísurin er høgur, og samstundis gjalda minni, tá prísurin er lágur. Avgjaldsgrundarlagið er tann nøgdin, alifelagið hevur slaktað ein ávísan mánað, faldað við miðal altjóða marknaðarprísinum sama mánað. Tøkugjaldið verður funnið við</w:t>
      </w:r>
      <w:r w:rsidR="008E358D">
        <w:t>,</w:t>
      </w:r>
      <w:r>
        <w:t xml:space="preserve"> at avgjaldsgrundarlagið verður faldað við viðkomandi prosentsatsi, ið er stigvíst hækkandi, alt eftir hvør miðal altjóða marknaðarprísurin er.</w:t>
      </w:r>
    </w:p>
    <w:p w14:paraId="7983BCF4" w14:textId="370057DD" w:rsidR="00724DE7" w:rsidRDefault="00522F30" w:rsidP="00724DE7">
      <w:r>
        <w:t>Sambært nýggju ásetingunum í lógini, verða gjøldini frameftir hesi</w:t>
      </w:r>
      <w:r w:rsidR="00841361">
        <w:t>,</w:t>
      </w:r>
      <w:r w:rsidR="00724DE7">
        <w:t xml:space="preserve"> tá P er miðal altjóða marknaðarprísur í DKK pr. kg., og K er </w:t>
      </w:r>
      <w:r w:rsidR="00EF329C">
        <w:t xml:space="preserve">miðal </w:t>
      </w:r>
      <w:r w:rsidR="00724DE7">
        <w:t>framleiðslukostnaðurin í DKK pr. kg.</w:t>
      </w:r>
    </w:p>
    <w:p w14:paraId="4DF4E2FD" w14:textId="7F645E58" w:rsidR="00724DE7" w:rsidRDefault="00724DE7" w:rsidP="00724DE7">
      <w:pPr>
        <w:pStyle w:val="Listeafsnit"/>
        <w:spacing w:after="0"/>
        <w:ind w:left="360"/>
      </w:pPr>
    </w:p>
    <w:p w14:paraId="571F5217" w14:textId="77777777" w:rsidR="00E47909" w:rsidRDefault="00E47909" w:rsidP="00E47909">
      <w:pPr>
        <w:pStyle w:val="Listeafsnit"/>
        <w:numPr>
          <w:ilvl w:val="0"/>
          <w:numId w:val="15"/>
        </w:numPr>
      </w:pPr>
      <w:r>
        <w:t>Er P minni enn K, er gjaldið 0,5%.</w:t>
      </w:r>
    </w:p>
    <w:p w14:paraId="679D1F55" w14:textId="77777777" w:rsidR="00E47909" w:rsidRDefault="00E47909" w:rsidP="00E47909">
      <w:pPr>
        <w:pStyle w:val="Listeafsnit"/>
        <w:numPr>
          <w:ilvl w:val="0"/>
          <w:numId w:val="15"/>
        </w:numPr>
      </w:pPr>
      <w:r>
        <w:t>Er P hægri enn ella hin sami sum K, men minni enn K pluss 5 kr., er gjaldið 2,5%.</w:t>
      </w:r>
    </w:p>
    <w:p w14:paraId="11C7FE10" w14:textId="77777777" w:rsidR="00E47909" w:rsidRDefault="00E47909" w:rsidP="00E47909">
      <w:pPr>
        <w:pStyle w:val="Listeafsnit"/>
        <w:numPr>
          <w:ilvl w:val="0"/>
          <w:numId w:val="15"/>
        </w:numPr>
      </w:pPr>
      <w:r>
        <w:t xml:space="preserve">Er P hægri enn ella hin sami sum K pluss 5 kr., men minni enn K pluss 15 kr., er gjaldið 5,0%. </w:t>
      </w:r>
    </w:p>
    <w:p w14:paraId="406A5ACB" w14:textId="77777777" w:rsidR="00E47909" w:rsidRDefault="00E47909" w:rsidP="00E47909">
      <w:pPr>
        <w:pStyle w:val="Listeafsnit"/>
        <w:numPr>
          <w:ilvl w:val="0"/>
          <w:numId w:val="15"/>
        </w:numPr>
      </w:pPr>
      <w:r>
        <w:t>Er P hægri enn ella hin sami sum K pluss 15 kr., men minni enn K pluss 20 kr., er gjaldið 7,5%.</w:t>
      </w:r>
    </w:p>
    <w:p w14:paraId="4B29F350" w14:textId="77777777" w:rsidR="00E47909" w:rsidRDefault="00E47909" w:rsidP="00E47909">
      <w:pPr>
        <w:pStyle w:val="Listeafsnit"/>
        <w:numPr>
          <w:ilvl w:val="0"/>
          <w:numId w:val="15"/>
        </w:numPr>
      </w:pPr>
      <w:r>
        <w:t>Er P hægri enn ella hin sami sum K pluss 20 kr., men minni enn K pluss 25 kr., er gjaldið 10,0%.</w:t>
      </w:r>
    </w:p>
    <w:p w14:paraId="23682E8A" w14:textId="77777777" w:rsidR="00E47909" w:rsidRDefault="00E47909" w:rsidP="00E47909">
      <w:pPr>
        <w:pStyle w:val="Listeafsnit"/>
        <w:numPr>
          <w:ilvl w:val="0"/>
          <w:numId w:val="15"/>
        </w:numPr>
      </w:pPr>
      <w:r>
        <w:t>Er P hægri enn ella hin sami sum K pluss 25 kr., men minni enn K pluss 30 kr., er gjaldið 12,5%</w:t>
      </w:r>
    </w:p>
    <w:p w14:paraId="6ECE1BE0" w14:textId="77777777" w:rsidR="00E47909" w:rsidRDefault="00E47909" w:rsidP="00E47909">
      <w:pPr>
        <w:pStyle w:val="Listeafsnit"/>
        <w:numPr>
          <w:ilvl w:val="0"/>
          <w:numId w:val="15"/>
        </w:numPr>
      </w:pPr>
      <w:r>
        <w:t>Er P hægri enn ella hin sami sum K pluss 30 kr., men minni enn K pluss 35 kr., er gjaldið 15,0%</w:t>
      </w:r>
    </w:p>
    <w:p w14:paraId="741065F8" w14:textId="77777777" w:rsidR="00E47909" w:rsidRDefault="00E47909" w:rsidP="00E47909">
      <w:pPr>
        <w:pStyle w:val="Listeafsnit"/>
        <w:numPr>
          <w:ilvl w:val="0"/>
          <w:numId w:val="15"/>
        </w:numPr>
      </w:pPr>
      <w:r>
        <w:t>Er P hægri enn ella hin sami sum K pluss 35 kr., men minni enn K pluss 40 kr., er gjaldið 17,5%</w:t>
      </w:r>
    </w:p>
    <w:p w14:paraId="3424D634" w14:textId="77777777" w:rsidR="00E47909" w:rsidRDefault="00E47909" w:rsidP="00E47909">
      <w:pPr>
        <w:pStyle w:val="Listeafsnit"/>
        <w:numPr>
          <w:ilvl w:val="0"/>
          <w:numId w:val="15"/>
        </w:numPr>
      </w:pPr>
      <w:r>
        <w:t>Er P hægri enn ella hin sami sum K pluss 40 kr., er gjaldið 20,0%.</w:t>
      </w:r>
    </w:p>
    <w:p w14:paraId="48844D2E" w14:textId="1691B741" w:rsidR="0042364F" w:rsidRDefault="0042364F" w:rsidP="00724DE7">
      <w:pPr>
        <w:pStyle w:val="Listeafsnit"/>
        <w:spacing w:after="0"/>
        <w:ind w:left="360"/>
      </w:pPr>
    </w:p>
    <w:p w14:paraId="6F2FEE69" w14:textId="1CDA1C05" w:rsidR="0042364F" w:rsidRDefault="0042364F" w:rsidP="00724DE7">
      <w:pPr>
        <w:pStyle w:val="Listeafsnit"/>
        <w:spacing w:after="0"/>
        <w:ind w:left="360"/>
      </w:pPr>
    </w:p>
    <w:p w14:paraId="70C4417F" w14:textId="77777777" w:rsidR="00522F30" w:rsidRDefault="00522F30" w:rsidP="00522F30">
      <w:pPr>
        <w:spacing w:after="0"/>
        <w:jc w:val="both"/>
      </w:pPr>
      <w:r>
        <w:t xml:space="preserve">Hildið verður fast í grundregluni um at krevja eitt nýtslugjald fyri framíhjárættindi at gagnnýta føroysku aliøkini. Nýtslugjald verður kravt, óansæð hvussu laksaprísurin háttar sær. Er laksaprísurin lægri enn framleiðslukostnaðurin, er </w:t>
      </w:r>
      <w:r w:rsidRPr="0042364F">
        <w:t>gjaldið 0,5%.</w:t>
      </w:r>
      <w:r>
        <w:t xml:space="preserve"> </w:t>
      </w:r>
    </w:p>
    <w:p w14:paraId="3411A3B1" w14:textId="77777777" w:rsidR="00522F30" w:rsidRDefault="00522F30" w:rsidP="00522F30">
      <w:pPr>
        <w:spacing w:after="0"/>
        <w:jc w:val="both"/>
      </w:pPr>
    </w:p>
    <w:p w14:paraId="23C18F33" w14:textId="46FC67AB" w:rsidR="00522F30" w:rsidRDefault="00522F30" w:rsidP="00522F30">
      <w:pPr>
        <w:spacing w:after="0"/>
        <w:jc w:val="both"/>
      </w:pPr>
      <w:r>
        <w:t>Endamálið við stigvísa gjaldinum í mun til altjóða marknaðarprísin er, at</w:t>
      </w:r>
      <w:r w:rsidR="00C14DA1">
        <w:t xml:space="preserve"> størri partur av serstaka vinninginum fellur til landið</w:t>
      </w:r>
      <w:r w:rsidR="00FD0666">
        <w:t>, tá laksaprísirnir eru lutfalsliga høgir. S</w:t>
      </w:r>
      <w:r>
        <w:t>tigini verða ásett við støði í meting av</w:t>
      </w:r>
      <w:r w:rsidR="00841361">
        <w:t xml:space="preserve"> miðal </w:t>
      </w:r>
      <w:r>
        <w:t>framleiðslukostnaðinum hjá alifyritøkunum</w:t>
      </w:r>
      <w:r w:rsidR="00841361">
        <w:t>.</w:t>
      </w:r>
    </w:p>
    <w:p w14:paraId="539F5F75" w14:textId="77777777" w:rsidR="00522F30" w:rsidRDefault="00522F30" w:rsidP="00522F30">
      <w:pPr>
        <w:spacing w:after="0"/>
        <w:jc w:val="both"/>
      </w:pPr>
    </w:p>
    <w:p w14:paraId="75B8EA18" w14:textId="241DF3BB" w:rsidR="00E60021" w:rsidRPr="000A129D" w:rsidRDefault="00522F30" w:rsidP="00522F30">
      <w:pPr>
        <w:spacing w:after="0"/>
        <w:jc w:val="both"/>
      </w:pPr>
      <w:r>
        <w:t>Mánaðarligi miðalspotprísurin í evrum fyri kruvdan laks sambært “Fish Pool Index” verður framvegis brúktur sum altjóða marknaðarprísur at rokna avgjaldsgrundarlagið undir loyvisgjaldinum. Umroknað verður framvegis til danskar krónur við at nýta sentralkursin hjá Danmarks Nationalbank.</w:t>
      </w:r>
    </w:p>
    <w:p w14:paraId="1FB932B1" w14:textId="2F810DDC" w:rsidR="006C4161" w:rsidRPr="006C4161" w:rsidRDefault="006C4161" w:rsidP="000A129D">
      <w:pPr>
        <w:spacing w:after="0"/>
        <w:jc w:val="both"/>
        <w:rPr>
          <w:bCs/>
        </w:rPr>
      </w:pPr>
    </w:p>
    <w:p w14:paraId="4C3A3E50" w14:textId="575E28E9" w:rsidR="00EA0BC5" w:rsidRDefault="006C4161" w:rsidP="006C4161">
      <w:pPr>
        <w:spacing w:after="0"/>
        <w:jc w:val="both"/>
        <w:rPr>
          <w:b/>
        </w:rPr>
      </w:pPr>
      <w:r>
        <w:rPr>
          <w:bCs/>
        </w:rPr>
        <w:t>Sambært uppskotinum falla</w:t>
      </w:r>
      <w:r w:rsidR="00195E4C">
        <w:rPr>
          <w:bCs/>
        </w:rPr>
        <w:t xml:space="preserve"> upp til</w:t>
      </w:r>
      <w:r>
        <w:rPr>
          <w:bCs/>
        </w:rPr>
        <w:t xml:space="preserve"> 10% av inntøkunum frá gjaldinum til kommunurnar</w:t>
      </w:r>
      <w:r w:rsidR="00195E4C">
        <w:rPr>
          <w:bCs/>
        </w:rPr>
        <w:t>,</w:t>
      </w:r>
      <w:r>
        <w:rPr>
          <w:bCs/>
        </w:rPr>
        <w:t xml:space="preserve"> </w:t>
      </w:r>
      <w:r w:rsidR="00195E4C">
        <w:rPr>
          <w:bCs/>
        </w:rPr>
        <w:t>tó í minsta lagi 25 mió. kr. og í mesta lagi 5</w:t>
      </w:r>
      <w:r w:rsidR="003F2FE4">
        <w:rPr>
          <w:bCs/>
        </w:rPr>
        <w:t>0</w:t>
      </w:r>
      <w:r w:rsidR="00195E4C">
        <w:rPr>
          <w:bCs/>
        </w:rPr>
        <w:t xml:space="preserve"> mió kr. </w:t>
      </w:r>
    </w:p>
    <w:p w14:paraId="40908389" w14:textId="77777777" w:rsidR="00EA0BC5" w:rsidRPr="000A129D" w:rsidRDefault="00EA0BC5" w:rsidP="000A129D">
      <w:pPr>
        <w:spacing w:after="0"/>
        <w:jc w:val="both"/>
        <w:rPr>
          <w:b/>
        </w:rPr>
      </w:pPr>
    </w:p>
    <w:p w14:paraId="6D82DB08" w14:textId="77777777" w:rsidR="00E60021" w:rsidRPr="000A129D" w:rsidRDefault="00E60021" w:rsidP="000A129D">
      <w:pPr>
        <w:spacing w:after="0"/>
        <w:rPr>
          <w:b/>
        </w:rPr>
      </w:pPr>
      <w:r w:rsidRPr="009332A1">
        <w:rPr>
          <w:b/>
        </w:rPr>
        <w:t>1.5. Ummæli og ummælisskjal</w:t>
      </w:r>
    </w:p>
    <w:p w14:paraId="5CDE0C28" w14:textId="77777777" w:rsidR="00E60021" w:rsidRPr="000A129D" w:rsidRDefault="00E60021" w:rsidP="000A129D">
      <w:pPr>
        <w:spacing w:after="0"/>
        <w:jc w:val="both"/>
      </w:pPr>
    </w:p>
    <w:p w14:paraId="0E198571" w14:textId="49FE82A0" w:rsidR="00E60021" w:rsidRPr="000A129D" w:rsidRDefault="00E60021" w:rsidP="00407F5F">
      <w:pPr>
        <w:spacing w:after="0"/>
        <w:jc w:val="both"/>
        <w:rPr>
          <w:b/>
        </w:rPr>
      </w:pPr>
      <w:r w:rsidRPr="000A129D">
        <w:br w:type="page"/>
      </w:r>
      <w:r w:rsidRPr="00917030">
        <w:rPr>
          <w:b/>
        </w:rPr>
        <w:lastRenderedPageBreak/>
        <w:t>Kapittul 2. Avleiðingarnar av uppskotinum</w:t>
      </w:r>
    </w:p>
    <w:p w14:paraId="0420ECA3" w14:textId="77777777" w:rsidR="00E60021" w:rsidRPr="000A129D" w:rsidRDefault="00E60021" w:rsidP="000A129D">
      <w:pPr>
        <w:spacing w:after="0"/>
        <w:jc w:val="both"/>
      </w:pPr>
    </w:p>
    <w:p w14:paraId="7E22DF9C" w14:textId="77777777" w:rsidR="00E60021" w:rsidRPr="000A129D" w:rsidRDefault="00E60021" w:rsidP="000A129D">
      <w:pPr>
        <w:spacing w:after="0"/>
        <w:jc w:val="both"/>
      </w:pPr>
    </w:p>
    <w:p w14:paraId="1AE95EEE" w14:textId="77777777" w:rsidR="00E60021" w:rsidRPr="000A129D" w:rsidRDefault="00E60021" w:rsidP="000A129D">
      <w:pPr>
        <w:spacing w:after="0"/>
        <w:rPr>
          <w:b/>
        </w:rPr>
      </w:pPr>
      <w:r w:rsidRPr="000A129D">
        <w:rPr>
          <w:b/>
        </w:rPr>
        <w:t>2.1. Fíggjarligar avleiðingar fyri land og kommunur</w:t>
      </w:r>
    </w:p>
    <w:p w14:paraId="5DA96E79" w14:textId="77777777" w:rsidR="00021780" w:rsidRDefault="00021780" w:rsidP="00021780">
      <w:pPr>
        <w:spacing w:after="0"/>
        <w:jc w:val="both"/>
      </w:pPr>
      <w:r>
        <w:t>Uppskotið hevur fíggjarligar avleiðingar fyri land og kommunur.</w:t>
      </w:r>
    </w:p>
    <w:p w14:paraId="480002E1" w14:textId="77777777" w:rsidR="00021780" w:rsidRDefault="00021780" w:rsidP="00021780">
      <w:pPr>
        <w:spacing w:after="0"/>
        <w:jc w:val="both"/>
      </w:pPr>
    </w:p>
    <w:p w14:paraId="437B534C" w14:textId="3D5E0C5D" w:rsidR="00021780" w:rsidRPr="00CA10C6" w:rsidRDefault="00CA10C6" w:rsidP="00021780">
      <w:pPr>
        <w:spacing w:after="0"/>
        <w:jc w:val="both"/>
        <w:rPr>
          <w:b/>
          <w:bCs/>
        </w:rPr>
      </w:pPr>
      <w:r w:rsidRPr="00CA10C6">
        <w:rPr>
          <w:b/>
          <w:bCs/>
        </w:rPr>
        <w:t>Talva 1:</w:t>
      </w:r>
      <w:r w:rsidR="00021780" w:rsidRPr="00CA10C6">
        <w:rPr>
          <w:b/>
          <w:bCs/>
        </w:rPr>
        <w:t xml:space="preserve"> Tøkugjald fyri árini 201</w:t>
      </w:r>
      <w:r w:rsidRPr="00CA10C6">
        <w:rPr>
          <w:b/>
          <w:bCs/>
        </w:rPr>
        <w:t>8</w:t>
      </w:r>
      <w:r w:rsidR="00021780" w:rsidRPr="00CA10C6">
        <w:rPr>
          <w:b/>
          <w:bCs/>
        </w:rPr>
        <w:t>-2022</w:t>
      </w:r>
    </w:p>
    <w:tbl>
      <w:tblPr>
        <w:tblW w:w="5000" w:type="pct"/>
        <w:tblCellMar>
          <w:left w:w="70" w:type="dxa"/>
          <w:right w:w="70" w:type="dxa"/>
        </w:tblCellMar>
        <w:tblLook w:val="04A0" w:firstRow="1" w:lastRow="0" w:firstColumn="1" w:lastColumn="0" w:noHBand="0" w:noVBand="1"/>
      </w:tblPr>
      <w:tblGrid>
        <w:gridCol w:w="2926"/>
        <w:gridCol w:w="1240"/>
        <w:gridCol w:w="1240"/>
        <w:gridCol w:w="1130"/>
        <w:gridCol w:w="1240"/>
        <w:gridCol w:w="1240"/>
      </w:tblGrid>
      <w:tr w:rsidR="00CA10C6" w:rsidRPr="00CA10C6" w14:paraId="00F68C73" w14:textId="77777777" w:rsidTr="00CA10C6">
        <w:trPr>
          <w:trHeight w:val="300"/>
        </w:trPr>
        <w:tc>
          <w:tcPr>
            <w:tcW w:w="18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C090B" w14:textId="77777777" w:rsidR="00CA10C6" w:rsidRPr="00407F5F" w:rsidRDefault="00CA10C6" w:rsidP="00CA10C6">
            <w:pPr>
              <w:spacing w:after="0"/>
              <w:rPr>
                <w:rFonts w:eastAsia="Times New Roman"/>
                <w:b/>
                <w:bCs/>
                <w:color w:val="000000"/>
                <w:sz w:val="22"/>
                <w:szCs w:val="22"/>
                <w:lang w:eastAsia="da-DK"/>
              </w:rPr>
            </w:pPr>
            <w:r w:rsidRPr="00407F5F">
              <w:rPr>
                <w:rFonts w:eastAsia="Times New Roman"/>
                <w:b/>
                <w:bCs/>
                <w:color w:val="000000"/>
                <w:sz w:val="22"/>
                <w:szCs w:val="22"/>
                <w:lang w:eastAsia="da-DK"/>
              </w:rPr>
              <w:t xml:space="preserve">Tøkugjald </w:t>
            </w:r>
          </w:p>
        </w:tc>
        <w:tc>
          <w:tcPr>
            <w:tcW w:w="639" w:type="pct"/>
            <w:tcBorders>
              <w:top w:val="single" w:sz="4" w:space="0" w:color="auto"/>
              <w:left w:val="nil"/>
              <w:bottom w:val="single" w:sz="4" w:space="0" w:color="auto"/>
              <w:right w:val="single" w:sz="4" w:space="0" w:color="auto"/>
            </w:tcBorders>
            <w:shd w:val="clear" w:color="auto" w:fill="auto"/>
            <w:noWrap/>
            <w:vAlign w:val="bottom"/>
            <w:hideMark/>
          </w:tcPr>
          <w:p w14:paraId="7253D6BE" w14:textId="77777777" w:rsidR="00CA10C6" w:rsidRPr="00E865D9" w:rsidRDefault="00CA10C6" w:rsidP="00CA10C6">
            <w:pPr>
              <w:spacing w:after="0"/>
              <w:jc w:val="center"/>
              <w:rPr>
                <w:rFonts w:eastAsia="Times New Roman"/>
                <w:b/>
                <w:bCs/>
                <w:color w:val="000000"/>
                <w:sz w:val="22"/>
                <w:szCs w:val="22"/>
                <w:lang w:val="da-DK" w:eastAsia="da-DK"/>
              </w:rPr>
            </w:pPr>
            <w:r w:rsidRPr="00E865D9">
              <w:rPr>
                <w:rFonts w:eastAsia="Times New Roman"/>
                <w:b/>
                <w:bCs/>
                <w:color w:val="000000"/>
                <w:sz w:val="22"/>
                <w:szCs w:val="22"/>
                <w:lang w:val="da-DK" w:eastAsia="da-DK"/>
              </w:rPr>
              <w:t>2018</w:t>
            </w:r>
          </w:p>
        </w:tc>
        <w:tc>
          <w:tcPr>
            <w:tcW w:w="639" w:type="pct"/>
            <w:tcBorders>
              <w:top w:val="single" w:sz="4" w:space="0" w:color="auto"/>
              <w:left w:val="nil"/>
              <w:bottom w:val="single" w:sz="4" w:space="0" w:color="auto"/>
              <w:right w:val="single" w:sz="4" w:space="0" w:color="auto"/>
            </w:tcBorders>
            <w:shd w:val="clear" w:color="auto" w:fill="auto"/>
            <w:noWrap/>
            <w:vAlign w:val="bottom"/>
            <w:hideMark/>
          </w:tcPr>
          <w:p w14:paraId="156218A8" w14:textId="77777777" w:rsidR="00CA10C6" w:rsidRPr="00E865D9" w:rsidRDefault="00CA10C6" w:rsidP="00CA10C6">
            <w:pPr>
              <w:spacing w:after="0"/>
              <w:jc w:val="center"/>
              <w:rPr>
                <w:rFonts w:eastAsia="Times New Roman"/>
                <w:b/>
                <w:bCs/>
                <w:color w:val="000000"/>
                <w:sz w:val="22"/>
                <w:szCs w:val="22"/>
                <w:lang w:val="da-DK" w:eastAsia="da-DK"/>
              </w:rPr>
            </w:pPr>
            <w:r w:rsidRPr="00E865D9">
              <w:rPr>
                <w:rFonts w:eastAsia="Times New Roman"/>
                <w:b/>
                <w:bCs/>
                <w:color w:val="000000"/>
                <w:sz w:val="22"/>
                <w:szCs w:val="22"/>
                <w:lang w:val="da-DK" w:eastAsia="da-DK"/>
              </w:rPr>
              <w:t>2019</w:t>
            </w:r>
          </w:p>
        </w:tc>
        <w:tc>
          <w:tcPr>
            <w:tcW w:w="601" w:type="pct"/>
            <w:tcBorders>
              <w:top w:val="single" w:sz="4" w:space="0" w:color="auto"/>
              <w:left w:val="nil"/>
              <w:bottom w:val="single" w:sz="4" w:space="0" w:color="auto"/>
              <w:right w:val="single" w:sz="4" w:space="0" w:color="auto"/>
            </w:tcBorders>
            <w:shd w:val="clear" w:color="auto" w:fill="auto"/>
            <w:noWrap/>
            <w:vAlign w:val="bottom"/>
            <w:hideMark/>
          </w:tcPr>
          <w:p w14:paraId="6F58B294" w14:textId="77777777" w:rsidR="00CA10C6" w:rsidRPr="00E865D9" w:rsidRDefault="00CA10C6" w:rsidP="00CA10C6">
            <w:pPr>
              <w:spacing w:after="0"/>
              <w:jc w:val="center"/>
              <w:rPr>
                <w:rFonts w:eastAsia="Times New Roman"/>
                <w:b/>
                <w:bCs/>
                <w:color w:val="000000"/>
                <w:sz w:val="22"/>
                <w:szCs w:val="22"/>
                <w:lang w:val="da-DK" w:eastAsia="da-DK"/>
              </w:rPr>
            </w:pPr>
            <w:r w:rsidRPr="00E865D9">
              <w:rPr>
                <w:rFonts w:eastAsia="Times New Roman"/>
                <w:b/>
                <w:bCs/>
                <w:color w:val="000000"/>
                <w:sz w:val="22"/>
                <w:szCs w:val="22"/>
                <w:lang w:val="da-DK" w:eastAsia="da-DK"/>
              </w:rPr>
              <w:t>2020</w:t>
            </w:r>
          </w:p>
        </w:tc>
        <w:tc>
          <w:tcPr>
            <w:tcW w:w="639" w:type="pct"/>
            <w:tcBorders>
              <w:top w:val="single" w:sz="4" w:space="0" w:color="auto"/>
              <w:left w:val="nil"/>
              <w:bottom w:val="single" w:sz="4" w:space="0" w:color="auto"/>
              <w:right w:val="single" w:sz="4" w:space="0" w:color="auto"/>
            </w:tcBorders>
            <w:shd w:val="clear" w:color="auto" w:fill="auto"/>
            <w:noWrap/>
            <w:vAlign w:val="bottom"/>
            <w:hideMark/>
          </w:tcPr>
          <w:p w14:paraId="38C7D7E5" w14:textId="77777777" w:rsidR="00CA10C6" w:rsidRPr="00E865D9" w:rsidRDefault="00CA10C6" w:rsidP="00CA10C6">
            <w:pPr>
              <w:spacing w:after="0"/>
              <w:jc w:val="center"/>
              <w:rPr>
                <w:rFonts w:eastAsia="Times New Roman"/>
                <w:b/>
                <w:bCs/>
                <w:color w:val="000000"/>
                <w:sz w:val="22"/>
                <w:szCs w:val="22"/>
                <w:lang w:val="da-DK" w:eastAsia="da-DK"/>
              </w:rPr>
            </w:pPr>
            <w:r w:rsidRPr="00E865D9">
              <w:rPr>
                <w:rFonts w:eastAsia="Times New Roman"/>
                <w:b/>
                <w:bCs/>
                <w:color w:val="000000"/>
                <w:sz w:val="22"/>
                <w:szCs w:val="22"/>
                <w:lang w:val="da-DK" w:eastAsia="da-DK"/>
              </w:rPr>
              <w:t>2021</w:t>
            </w:r>
          </w:p>
        </w:tc>
        <w:tc>
          <w:tcPr>
            <w:tcW w:w="639" w:type="pct"/>
            <w:tcBorders>
              <w:top w:val="single" w:sz="4" w:space="0" w:color="auto"/>
              <w:left w:val="nil"/>
              <w:bottom w:val="single" w:sz="4" w:space="0" w:color="auto"/>
              <w:right w:val="single" w:sz="4" w:space="0" w:color="auto"/>
            </w:tcBorders>
            <w:shd w:val="clear" w:color="auto" w:fill="auto"/>
            <w:noWrap/>
            <w:vAlign w:val="bottom"/>
            <w:hideMark/>
          </w:tcPr>
          <w:p w14:paraId="65B2370B" w14:textId="0AA22A2F" w:rsidR="00CA10C6" w:rsidRPr="00E865D9" w:rsidRDefault="00CA10C6" w:rsidP="00CA10C6">
            <w:pPr>
              <w:spacing w:after="0"/>
              <w:jc w:val="center"/>
              <w:rPr>
                <w:rFonts w:eastAsia="Times New Roman"/>
                <w:b/>
                <w:bCs/>
                <w:color w:val="000000"/>
                <w:sz w:val="22"/>
                <w:szCs w:val="22"/>
                <w:lang w:val="da-DK" w:eastAsia="da-DK"/>
              </w:rPr>
            </w:pPr>
            <w:r w:rsidRPr="00E865D9">
              <w:rPr>
                <w:rFonts w:eastAsia="Times New Roman"/>
                <w:b/>
                <w:bCs/>
                <w:color w:val="000000"/>
                <w:sz w:val="22"/>
                <w:szCs w:val="22"/>
                <w:lang w:val="da-DK" w:eastAsia="da-DK"/>
              </w:rPr>
              <w:t>2022</w:t>
            </w:r>
          </w:p>
        </w:tc>
      </w:tr>
      <w:tr w:rsidR="00CA10C6" w:rsidRPr="00CA10C6" w14:paraId="58C20D16" w14:textId="77777777" w:rsidTr="00CA10C6">
        <w:trPr>
          <w:trHeight w:val="300"/>
        </w:trPr>
        <w:tc>
          <w:tcPr>
            <w:tcW w:w="1843" w:type="pct"/>
            <w:tcBorders>
              <w:top w:val="nil"/>
              <w:left w:val="single" w:sz="4" w:space="0" w:color="auto"/>
              <w:bottom w:val="single" w:sz="4" w:space="0" w:color="auto"/>
              <w:right w:val="single" w:sz="4" w:space="0" w:color="auto"/>
            </w:tcBorders>
            <w:shd w:val="clear" w:color="auto" w:fill="auto"/>
            <w:noWrap/>
            <w:vAlign w:val="bottom"/>
            <w:hideMark/>
          </w:tcPr>
          <w:p w14:paraId="0D76B707" w14:textId="77777777" w:rsidR="00CA10C6" w:rsidRPr="00407F5F" w:rsidRDefault="00CA10C6" w:rsidP="00CA10C6">
            <w:pPr>
              <w:spacing w:after="0"/>
              <w:rPr>
                <w:rFonts w:eastAsia="Times New Roman"/>
                <w:color w:val="000000"/>
                <w:sz w:val="22"/>
                <w:szCs w:val="22"/>
                <w:lang w:eastAsia="da-DK"/>
              </w:rPr>
            </w:pPr>
            <w:r w:rsidRPr="00407F5F">
              <w:rPr>
                <w:rFonts w:eastAsia="Times New Roman"/>
                <w:color w:val="000000"/>
                <w:sz w:val="22"/>
                <w:szCs w:val="22"/>
                <w:lang w:eastAsia="da-DK"/>
              </w:rPr>
              <w:t>Verandi skipan</w:t>
            </w:r>
          </w:p>
        </w:tc>
        <w:tc>
          <w:tcPr>
            <w:tcW w:w="639" w:type="pct"/>
            <w:tcBorders>
              <w:top w:val="nil"/>
              <w:left w:val="nil"/>
              <w:bottom w:val="single" w:sz="4" w:space="0" w:color="auto"/>
              <w:right w:val="single" w:sz="4" w:space="0" w:color="auto"/>
            </w:tcBorders>
            <w:shd w:val="clear" w:color="auto" w:fill="auto"/>
            <w:noWrap/>
            <w:vAlign w:val="bottom"/>
            <w:hideMark/>
          </w:tcPr>
          <w:p w14:paraId="1E583135" w14:textId="77777777" w:rsidR="00CA10C6" w:rsidRPr="00E865D9" w:rsidRDefault="00CA10C6" w:rsidP="00CA10C6">
            <w:pPr>
              <w:spacing w:after="0"/>
              <w:jc w:val="center"/>
              <w:rPr>
                <w:rFonts w:eastAsia="Times New Roman"/>
                <w:color w:val="000000"/>
                <w:sz w:val="22"/>
                <w:szCs w:val="22"/>
                <w:lang w:val="da-DK" w:eastAsia="da-DK"/>
              </w:rPr>
            </w:pPr>
            <w:r w:rsidRPr="00E865D9">
              <w:rPr>
                <w:rFonts w:eastAsia="Times New Roman"/>
                <w:color w:val="000000"/>
                <w:sz w:val="22"/>
                <w:szCs w:val="22"/>
                <w:lang w:val="da-DK" w:eastAsia="da-DK"/>
              </w:rPr>
              <w:t>136.361.000</w:t>
            </w:r>
          </w:p>
        </w:tc>
        <w:tc>
          <w:tcPr>
            <w:tcW w:w="639" w:type="pct"/>
            <w:tcBorders>
              <w:top w:val="nil"/>
              <w:left w:val="nil"/>
              <w:bottom w:val="single" w:sz="4" w:space="0" w:color="auto"/>
              <w:right w:val="single" w:sz="4" w:space="0" w:color="auto"/>
            </w:tcBorders>
            <w:shd w:val="clear" w:color="auto" w:fill="auto"/>
            <w:noWrap/>
            <w:vAlign w:val="bottom"/>
            <w:hideMark/>
          </w:tcPr>
          <w:p w14:paraId="38647CEF" w14:textId="77777777" w:rsidR="00CA10C6" w:rsidRPr="00E865D9" w:rsidRDefault="00CA10C6" w:rsidP="00CA10C6">
            <w:pPr>
              <w:spacing w:after="0"/>
              <w:jc w:val="center"/>
              <w:rPr>
                <w:rFonts w:eastAsia="Times New Roman"/>
                <w:color w:val="000000"/>
                <w:sz w:val="22"/>
                <w:szCs w:val="22"/>
                <w:lang w:val="da-DK" w:eastAsia="da-DK"/>
              </w:rPr>
            </w:pPr>
            <w:r w:rsidRPr="00E865D9">
              <w:rPr>
                <w:rFonts w:eastAsia="Times New Roman"/>
                <w:color w:val="000000"/>
                <w:sz w:val="22"/>
                <w:szCs w:val="22"/>
                <w:lang w:val="da-DK" w:eastAsia="da-DK"/>
              </w:rPr>
              <w:t>139.996.000</w:t>
            </w:r>
          </w:p>
        </w:tc>
        <w:tc>
          <w:tcPr>
            <w:tcW w:w="601" w:type="pct"/>
            <w:tcBorders>
              <w:top w:val="nil"/>
              <w:left w:val="nil"/>
              <w:bottom w:val="single" w:sz="4" w:space="0" w:color="auto"/>
              <w:right w:val="single" w:sz="4" w:space="0" w:color="auto"/>
            </w:tcBorders>
            <w:shd w:val="clear" w:color="auto" w:fill="auto"/>
            <w:noWrap/>
            <w:vAlign w:val="bottom"/>
            <w:hideMark/>
          </w:tcPr>
          <w:p w14:paraId="0219A146" w14:textId="77777777" w:rsidR="00CA10C6" w:rsidRPr="00E865D9" w:rsidRDefault="00CA10C6" w:rsidP="00CA10C6">
            <w:pPr>
              <w:spacing w:after="0"/>
              <w:jc w:val="center"/>
              <w:rPr>
                <w:rFonts w:eastAsia="Times New Roman"/>
                <w:color w:val="000000"/>
                <w:sz w:val="22"/>
                <w:szCs w:val="22"/>
                <w:lang w:val="da-DK" w:eastAsia="da-DK"/>
              </w:rPr>
            </w:pPr>
            <w:r w:rsidRPr="00E865D9">
              <w:rPr>
                <w:rFonts w:eastAsia="Times New Roman"/>
                <w:color w:val="000000"/>
                <w:sz w:val="22"/>
                <w:szCs w:val="22"/>
                <w:lang w:val="da-DK" w:eastAsia="da-DK"/>
              </w:rPr>
              <w:t>81.813.000</w:t>
            </w:r>
          </w:p>
        </w:tc>
        <w:tc>
          <w:tcPr>
            <w:tcW w:w="639" w:type="pct"/>
            <w:tcBorders>
              <w:top w:val="nil"/>
              <w:left w:val="nil"/>
              <w:bottom w:val="single" w:sz="4" w:space="0" w:color="auto"/>
              <w:right w:val="single" w:sz="4" w:space="0" w:color="auto"/>
            </w:tcBorders>
            <w:shd w:val="clear" w:color="auto" w:fill="auto"/>
            <w:noWrap/>
            <w:vAlign w:val="bottom"/>
            <w:hideMark/>
          </w:tcPr>
          <w:p w14:paraId="2C4CBE51" w14:textId="77777777" w:rsidR="00CA10C6" w:rsidRPr="00E865D9" w:rsidRDefault="00CA10C6" w:rsidP="00CA10C6">
            <w:pPr>
              <w:spacing w:after="0"/>
              <w:jc w:val="center"/>
              <w:rPr>
                <w:rFonts w:eastAsia="Times New Roman"/>
                <w:color w:val="000000"/>
                <w:sz w:val="22"/>
                <w:szCs w:val="22"/>
                <w:lang w:val="da-DK" w:eastAsia="da-DK"/>
              </w:rPr>
            </w:pPr>
            <w:r w:rsidRPr="00E865D9">
              <w:rPr>
                <w:rFonts w:eastAsia="Times New Roman"/>
                <w:color w:val="000000"/>
                <w:sz w:val="22"/>
                <w:szCs w:val="22"/>
                <w:lang w:val="da-DK" w:eastAsia="da-DK"/>
              </w:rPr>
              <w:t>196.157.000</w:t>
            </w:r>
          </w:p>
        </w:tc>
        <w:tc>
          <w:tcPr>
            <w:tcW w:w="639" w:type="pct"/>
            <w:tcBorders>
              <w:top w:val="nil"/>
              <w:left w:val="nil"/>
              <w:bottom w:val="single" w:sz="4" w:space="0" w:color="auto"/>
              <w:right w:val="single" w:sz="4" w:space="0" w:color="auto"/>
            </w:tcBorders>
            <w:shd w:val="clear" w:color="auto" w:fill="auto"/>
            <w:noWrap/>
            <w:vAlign w:val="bottom"/>
            <w:hideMark/>
          </w:tcPr>
          <w:p w14:paraId="172DF2A3" w14:textId="0A38FC36" w:rsidR="00CA10C6" w:rsidRPr="00E865D9" w:rsidRDefault="007271CF" w:rsidP="00CA10C6">
            <w:pPr>
              <w:spacing w:after="0"/>
              <w:jc w:val="right"/>
              <w:rPr>
                <w:rFonts w:eastAsia="Times New Roman"/>
                <w:color w:val="000000"/>
                <w:sz w:val="22"/>
                <w:szCs w:val="22"/>
                <w:lang w:val="da-DK" w:eastAsia="da-DK"/>
              </w:rPr>
            </w:pPr>
            <w:r>
              <w:rPr>
                <w:rFonts w:eastAsia="Times New Roman"/>
                <w:color w:val="000000"/>
                <w:sz w:val="22"/>
                <w:szCs w:val="22"/>
                <w:lang w:val="da-DK" w:eastAsia="da-DK"/>
              </w:rPr>
              <w:t>284.213.957</w:t>
            </w:r>
          </w:p>
        </w:tc>
      </w:tr>
    </w:tbl>
    <w:p w14:paraId="6D37511D" w14:textId="2D9A697F" w:rsidR="00021780" w:rsidRDefault="00021780" w:rsidP="00021780">
      <w:pPr>
        <w:spacing w:after="0"/>
        <w:jc w:val="both"/>
      </w:pPr>
    </w:p>
    <w:p w14:paraId="7E2FC2D0" w14:textId="317FA643" w:rsidR="00021780" w:rsidRDefault="00021780" w:rsidP="00021780">
      <w:pPr>
        <w:spacing w:after="0"/>
        <w:jc w:val="both"/>
      </w:pPr>
      <w:r>
        <w:t xml:space="preserve">Í talvu 1 sæst, hvussu nógv landið hevur fingið inn í tøkugjaldi árini 2018-2022 eftir verandi skipan. Í </w:t>
      </w:r>
      <w:r w:rsidRPr="00E33FF6">
        <w:t>2021 vóru prísirnir lutfalsliga lágir, men hóast hetta fekk landið 196 mió. kr. inn í tøkugjaldi. Hevði nýggja skipanin verið galdandi í 2021, hevði landið fingið umleið 6</w:t>
      </w:r>
      <w:r w:rsidR="00335079" w:rsidRPr="00E33FF6">
        <w:t>1</w:t>
      </w:r>
      <w:r>
        <w:t xml:space="preserve"> mió. kr. minni inn í tøkugjaldi. Orsøkin til hetta er, at framleiðslukostnaðurin er hækkaður munandi síðani tøkugjaldið seinast</w:t>
      </w:r>
      <w:r w:rsidR="00483701">
        <w:t>,</w:t>
      </w:r>
      <w:r>
        <w:t xml:space="preserve"> í 2018</w:t>
      </w:r>
      <w:r w:rsidR="00483701">
        <w:t>,</w:t>
      </w:r>
      <w:r>
        <w:t xml:space="preserve"> varð stillað, og at marknaðarprísurin í fleiri vikur í 2021 lá undir framleiðslukostnað</w:t>
      </w:r>
      <w:r w:rsidR="000F33D0">
        <w:t>inum</w:t>
      </w:r>
      <w:r>
        <w:t xml:space="preserve">. </w:t>
      </w:r>
      <w:r w:rsidR="00432CBA">
        <w:t>Í hesum</w:t>
      </w:r>
      <w:r>
        <w:t xml:space="preserve"> tíðarskeið</w:t>
      </w:r>
      <w:r w:rsidR="0068581D">
        <w:t>i</w:t>
      </w:r>
      <w:r w:rsidR="00432CBA">
        <w:t>num</w:t>
      </w:r>
      <w:r>
        <w:t xml:space="preserve"> rindaði alivinnan tøkugjald, hóast raksturin gav undirskot. Hinvegin, um broytti stigin var galdandi í 2022, har laksaprísirnir hava verið sera høgir, so hevði landskassin fingið </w:t>
      </w:r>
      <w:r w:rsidRPr="00545469">
        <w:t xml:space="preserve">umleið </w:t>
      </w:r>
      <w:r w:rsidR="005D2164" w:rsidRPr="00545469">
        <w:t>29</w:t>
      </w:r>
      <w:r w:rsidR="00545469" w:rsidRPr="00545469">
        <w:t>6</w:t>
      </w:r>
      <w:r w:rsidRPr="00545469">
        <w:t xml:space="preserve"> mió.kr.</w:t>
      </w:r>
      <w:r>
        <w:t xml:space="preserve"> eyka inn í tøkugjaldi í 2022. </w:t>
      </w:r>
    </w:p>
    <w:p w14:paraId="09519A61" w14:textId="77777777" w:rsidR="00021780" w:rsidRDefault="00021780" w:rsidP="00021780">
      <w:pPr>
        <w:spacing w:after="0"/>
        <w:jc w:val="both"/>
      </w:pPr>
    </w:p>
    <w:p w14:paraId="1A9C359C" w14:textId="69420FE9" w:rsidR="00021780" w:rsidRPr="009323BD" w:rsidRDefault="00021780" w:rsidP="00021780">
      <w:pPr>
        <w:spacing w:after="0"/>
        <w:jc w:val="both"/>
        <w:rPr>
          <w:b/>
          <w:bCs/>
        </w:rPr>
      </w:pPr>
      <w:r w:rsidRPr="009323BD">
        <w:rPr>
          <w:b/>
          <w:bCs/>
        </w:rPr>
        <w:t>Talva 2</w:t>
      </w:r>
      <w:r w:rsidRPr="000D17FA">
        <w:rPr>
          <w:b/>
          <w:bCs/>
        </w:rPr>
        <w:t xml:space="preserve">: Mett tøkugjald fyri árini </w:t>
      </w:r>
      <w:r w:rsidR="007271CF" w:rsidRPr="000D17FA">
        <w:rPr>
          <w:b/>
          <w:bCs/>
        </w:rPr>
        <w:t>20</w:t>
      </w:r>
      <w:r w:rsidR="000D17FA" w:rsidRPr="000D17FA">
        <w:rPr>
          <w:b/>
          <w:bCs/>
        </w:rPr>
        <w:t>20</w:t>
      </w:r>
      <w:r w:rsidRPr="000D17FA">
        <w:rPr>
          <w:b/>
          <w:bCs/>
        </w:rPr>
        <w:t>-2024</w:t>
      </w:r>
    </w:p>
    <w:tbl>
      <w:tblPr>
        <w:tblW w:w="5000" w:type="pct"/>
        <w:tblCellMar>
          <w:left w:w="70" w:type="dxa"/>
          <w:right w:w="70" w:type="dxa"/>
        </w:tblCellMar>
        <w:tblLook w:val="04A0" w:firstRow="1" w:lastRow="0" w:firstColumn="1" w:lastColumn="0" w:noHBand="0" w:noVBand="1"/>
      </w:tblPr>
      <w:tblGrid>
        <w:gridCol w:w="2099"/>
        <w:gridCol w:w="1429"/>
        <w:gridCol w:w="1371"/>
        <w:gridCol w:w="1371"/>
        <w:gridCol w:w="1371"/>
        <w:gridCol w:w="1370"/>
      </w:tblGrid>
      <w:tr w:rsidR="000D17FA" w:rsidRPr="008772AF" w14:paraId="1EE8F262" w14:textId="77777777" w:rsidTr="000D17FA">
        <w:trPr>
          <w:trHeight w:val="307"/>
        </w:trPr>
        <w:tc>
          <w:tcPr>
            <w:tcW w:w="116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94100E9" w14:textId="474FA5D4" w:rsidR="000D17FA" w:rsidRPr="00CF4D17" w:rsidRDefault="000D17FA" w:rsidP="008772AF">
            <w:pPr>
              <w:spacing w:after="0"/>
              <w:rPr>
                <w:rFonts w:eastAsia="Times New Roman"/>
                <w:b/>
                <w:bCs/>
                <w:color w:val="000000"/>
                <w:sz w:val="22"/>
                <w:szCs w:val="22"/>
                <w:lang w:eastAsia="da-DK"/>
              </w:rPr>
            </w:pPr>
            <w:r w:rsidRPr="00CF4D17">
              <w:rPr>
                <w:rFonts w:eastAsia="Times New Roman"/>
                <w:b/>
                <w:bCs/>
                <w:color w:val="000000"/>
                <w:sz w:val="22"/>
                <w:szCs w:val="22"/>
                <w:lang w:eastAsia="da-DK"/>
              </w:rPr>
              <w:t>Tøkugjald</w:t>
            </w:r>
            <w:r>
              <w:rPr>
                <w:rFonts w:eastAsia="Times New Roman"/>
                <w:b/>
                <w:bCs/>
                <w:color w:val="000000"/>
                <w:sz w:val="22"/>
                <w:szCs w:val="22"/>
                <w:lang w:eastAsia="da-DK"/>
              </w:rPr>
              <w:t xml:space="preserve"> í kr.</w:t>
            </w:r>
          </w:p>
        </w:tc>
        <w:tc>
          <w:tcPr>
            <w:tcW w:w="793" w:type="pct"/>
            <w:tcBorders>
              <w:top w:val="single" w:sz="8" w:space="0" w:color="auto"/>
              <w:left w:val="nil"/>
              <w:bottom w:val="nil"/>
              <w:right w:val="single" w:sz="4" w:space="0" w:color="auto"/>
            </w:tcBorders>
            <w:shd w:val="clear" w:color="auto" w:fill="auto"/>
            <w:noWrap/>
            <w:vAlign w:val="center"/>
            <w:hideMark/>
          </w:tcPr>
          <w:p w14:paraId="23303F81" w14:textId="77777777" w:rsidR="000D17FA" w:rsidRPr="008772AF" w:rsidRDefault="000D17FA" w:rsidP="008772AF">
            <w:pPr>
              <w:spacing w:after="0"/>
              <w:jc w:val="right"/>
              <w:rPr>
                <w:rFonts w:eastAsia="Times New Roman"/>
                <w:b/>
                <w:bCs/>
                <w:color w:val="000000"/>
                <w:sz w:val="22"/>
                <w:szCs w:val="22"/>
                <w:lang w:val="da-DK" w:eastAsia="da-DK"/>
              </w:rPr>
            </w:pPr>
            <w:r w:rsidRPr="008772AF">
              <w:rPr>
                <w:rFonts w:eastAsia="Times New Roman"/>
                <w:b/>
                <w:bCs/>
                <w:color w:val="000000"/>
                <w:sz w:val="22"/>
                <w:szCs w:val="22"/>
                <w:lang w:val="da-DK" w:eastAsia="da-DK"/>
              </w:rPr>
              <w:t>2020</w:t>
            </w:r>
          </w:p>
        </w:tc>
        <w:tc>
          <w:tcPr>
            <w:tcW w:w="761" w:type="pct"/>
            <w:tcBorders>
              <w:top w:val="single" w:sz="8" w:space="0" w:color="auto"/>
              <w:left w:val="nil"/>
              <w:bottom w:val="single" w:sz="4" w:space="0" w:color="auto"/>
              <w:right w:val="single" w:sz="4" w:space="0" w:color="auto"/>
            </w:tcBorders>
            <w:shd w:val="clear" w:color="auto" w:fill="auto"/>
            <w:noWrap/>
            <w:vAlign w:val="center"/>
            <w:hideMark/>
          </w:tcPr>
          <w:p w14:paraId="0D011048" w14:textId="77777777" w:rsidR="000D17FA" w:rsidRPr="008772AF" w:rsidRDefault="000D17FA" w:rsidP="008772AF">
            <w:pPr>
              <w:spacing w:after="0"/>
              <w:jc w:val="right"/>
              <w:rPr>
                <w:rFonts w:eastAsia="Times New Roman"/>
                <w:b/>
                <w:bCs/>
                <w:color w:val="000000"/>
                <w:sz w:val="22"/>
                <w:szCs w:val="22"/>
                <w:lang w:val="da-DK" w:eastAsia="da-DK"/>
              </w:rPr>
            </w:pPr>
            <w:r w:rsidRPr="008772AF">
              <w:rPr>
                <w:rFonts w:eastAsia="Times New Roman"/>
                <w:b/>
                <w:bCs/>
                <w:color w:val="000000"/>
                <w:sz w:val="22"/>
                <w:szCs w:val="22"/>
                <w:lang w:val="da-DK" w:eastAsia="da-DK"/>
              </w:rPr>
              <w:t>2021</w:t>
            </w:r>
          </w:p>
        </w:tc>
        <w:tc>
          <w:tcPr>
            <w:tcW w:w="761" w:type="pct"/>
            <w:tcBorders>
              <w:top w:val="single" w:sz="8" w:space="0" w:color="auto"/>
              <w:left w:val="nil"/>
              <w:bottom w:val="single" w:sz="4" w:space="0" w:color="auto"/>
              <w:right w:val="single" w:sz="4" w:space="0" w:color="auto"/>
            </w:tcBorders>
            <w:shd w:val="clear" w:color="auto" w:fill="auto"/>
            <w:noWrap/>
            <w:vAlign w:val="bottom"/>
            <w:hideMark/>
          </w:tcPr>
          <w:p w14:paraId="7CDA5A84" w14:textId="1BE0B19F" w:rsidR="000D17FA" w:rsidRPr="008772AF" w:rsidRDefault="000D17FA" w:rsidP="008772AF">
            <w:pPr>
              <w:spacing w:after="0"/>
              <w:jc w:val="right"/>
              <w:rPr>
                <w:rFonts w:eastAsia="Times New Roman"/>
                <w:b/>
                <w:bCs/>
                <w:color w:val="000000"/>
                <w:sz w:val="22"/>
                <w:szCs w:val="22"/>
                <w:lang w:val="da-DK" w:eastAsia="da-DK"/>
              </w:rPr>
            </w:pPr>
            <w:r w:rsidRPr="008772AF">
              <w:rPr>
                <w:rFonts w:eastAsia="Times New Roman"/>
                <w:b/>
                <w:bCs/>
                <w:color w:val="000000"/>
                <w:sz w:val="22"/>
                <w:szCs w:val="22"/>
                <w:lang w:val="da-DK" w:eastAsia="da-DK"/>
              </w:rPr>
              <w:t>2022</w:t>
            </w:r>
          </w:p>
        </w:tc>
        <w:tc>
          <w:tcPr>
            <w:tcW w:w="761" w:type="pct"/>
            <w:tcBorders>
              <w:top w:val="single" w:sz="8" w:space="0" w:color="auto"/>
              <w:left w:val="nil"/>
              <w:bottom w:val="single" w:sz="4" w:space="0" w:color="auto"/>
              <w:right w:val="single" w:sz="4" w:space="0" w:color="auto"/>
            </w:tcBorders>
            <w:shd w:val="clear" w:color="auto" w:fill="auto"/>
            <w:noWrap/>
            <w:vAlign w:val="bottom"/>
            <w:hideMark/>
          </w:tcPr>
          <w:p w14:paraId="5FCF7B47" w14:textId="77777777" w:rsidR="000D17FA" w:rsidRPr="008772AF" w:rsidRDefault="000D17FA" w:rsidP="008772AF">
            <w:pPr>
              <w:spacing w:after="0"/>
              <w:jc w:val="right"/>
              <w:rPr>
                <w:rFonts w:eastAsia="Times New Roman"/>
                <w:b/>
                <w:bCs/>
                <w:color w:val="000000"/>
                <w:sz w:val="22"/>
                <w:szCs w:val="22"/>
                <w:lang w:val="da-DK" w:eastAsia="da-DK"/>
              </w:rPr>
            </w:pPr>
            <w:r w:rsidRPr="008772AF">
              <w:rPr>
                <w:rFonts w:eastAsia="Times New Roman"/>
                <w:b/>
                <w:bCs/>
                <w:color w:val="000000"/>
                <w:sz w:val="22"/>
                <w:szCs w:val="22"/>
                <w:lang w:val="da-DK" w:eastAsia="da-DK"/>
              </w:rPr>
              <w:t>2023M</w:t>
            </w:r>
          </w:p>
        </w:tc>
        <w:tc>
          <w:tcPr>
            <w:tcW w:w="761" w:type="pct"/>
            <w:tcBorders>
              <w:top w:val="single" w:sz="8" w:space="0" w:color="auto"/>
              <w:left w:val="nil"/>
              <w:bottom w:val="single" w:sz="4" w:space="0" w:color="auto"/>
              <w:right w:val="single" w:sz="4" w:space="0" w:color="auto"/>
            </w:tcBorders>
            <w:shd w:val="clear" w:color="auto" w:fill="auto"/>
            <w:noWrap/>
            <w:vAlign w:val="bottom"/>
            <w:hideMark/>
          </w:tcPr>
          <w:p w14:paraId="35B9406A" w14:textId="77777777" w:rsidR="000D17FA" w:rsidRPr="008772AF" w:rsidRDefault="000D17FA" w:rsidP="008772AF">
            <w:pPr>
              <w:spacing w:after="0"/>
              <w:jc w:val="right"/>
              <w:rPr>
                <w:rFonts w:eastAsia="Times New Roman"/>
                <w:b/>
                <w:bCs/>
                <w:color w:val="000000"/>
                <w:sz w:val="22"/>
                <w:szCs w:val="22"/>
                <w:lang w:val="da-DK" w:eastAsia="da-DK"/>
              </w:rPr>
            </w:pPr>
            <w:r w:rsidRPr="008772AF">
              <w:rPr>
                <w:rFonts w:eastAsia="Times New Roman"/>
                <w:b/>
                <w:bCs/>
                <w:color w:val="000000"/>
                <w:sz w:val="22"/>
                <w:szCs w:val="22"/>
                <w:lang w:val="da-DK" w:eastAsia="da-DK"/>
              </w:rPr>
              <w:t>2024M</w:t>
            </w:r>
          </w:p>
        </w:tc>
      </w:tr>
      <w:tr w:rsidR="000D17FA" w:rsidRPr="008772AF" w14:paraId="4D2A2D49" w14:textId="77777777" w:rsidTr="000D17FA">
        <w:trPr>
          <w:trHeight w:val="307"/>
        </w:trPr>
        <w:tc>
          <w:tcPr>
            <w:tcW w:w="1164" w:type="pct"/>
            <w:tcBorders>
              <w:top w:val="nil"/>
              <w:left w:val="single" w:sz="8" w:space="0" w:color="auto"/>
              <w:bottom w:val="single" w:sz="4" w:space="0" w:color="auto"/>
              <w:right w:val="single" w:sz="4" w:space="0" w:color="auto"/>
            </w:tcBorders>
            <w:shd w:val="clear" w:color="auto" w:fill="auto"/>
            <w:noWrap/>
            <w:vAlign w:val="bottom"/>
            <w:hideMark/>
          </w:tcPr>
          <w:p w14:paraId="69A76534" w14:textId="77777777" w:rsidR="000D17FA" w:rsidRPr="00CF4D17" w:rsidRDefault="000D17FA" w:rsidP="008772AF">
            <w:pPr>
              <w:spacing w:after="0"/>
              <w:rPr>
                <w:rFonts w:eastAsia="Times New Roman"/>
                <w:color w:val="000000"/>
                <w:sz w:val="22"/>
                <w:szCs w:val="22"/>
                <w:lang w:eastAsia="da-DK"/>
              </w:rPr>
            </w:pPr>
            <w:r w:rsidRPr="00CF4D17">
              <w:rPr>
                <w:rFonts w:eastAsia="Times New Roman"/>
                <w:color w:val="000000"/>
                <w:sz w:val="22"/>
                <w:szCs w:val="22"/>
                <w:lang w:eastAsia="da-DK"/>
              </w:rPr>
              <w:t>Verandi skipan</w:t>
            </w:r>
          </w:p>
        </w:tc>
        <w:tc>
          <w:tcPr>
            <w:tcW w:w="793" w:type="pct"/>
            <w:tcBorders>
              <w:top w:val="single" w:sz="4" w:space="0" w:color="auto"/>
              <w:left w:val="nil"/>
              <w:bottom w:val="single" w:sz="4" w:space="0" w:color="auto"/>
              <w:right w:val="single" w:sz="4" w:space="0" w:color="auto"/>
            </w:tcBorders>
            <w:shd w:val="clear" w:color="auto" w:fill="auto"/>
            <w:noWrap/>
            <w:vAlign w:val="bottom"/>
            <w:hideMark/>
          </w:tcPr>
          <w:p w14:paraId="6895065E" w14:textId="77777777" w:rsidR="000D17FA" w:rsidRPr="008772AF" w:rsidRDefault="000D17FA" w:rsidP="008772AF">
            <w:pPr>
              <w:spacing w:after="0"/>
              <w:jc w:val="right"/>
              <w:rPr>
                <w:rFonts w:eastAsia="Times New Roman"/>
                <w:color w:val="000000"/>
                <w:sz w:val="21"/>
                <w:szCs w:val="21"/>
                <w:lang w:val="da-DK" w:eastAsia="da-DK"/>
              </w:rPr>
            </w:pPr>
            <w:r w:rsidRPr="008772AF">
              <w:rPr>
                <w:rFonts w:eastAsia="Times New Roman"/>
                <w:color w:val="000000"/>
                <w:sz w:val="21"/>
                <w:szCs w:val="21"/>
                <w:lang w:val="da-DK" w:eastAsia="da-DK"/>
              </w:rPr>
              <w:t>81.813.000</w:t>
            </w:r>
          </w:p>
        </w:tc>
        <w:tc>
          <w:tcPr>
            <w:tcW w:w="761" w:type="pct"/>
            <w:tcBorders>
              <w:top w:val="nil"/>
              <w:left w:val="nil"/>
              <w:bottom w:val="single" w:sz="4" w:space="0" w:color="auto"/>
              <w:right w:val="single" w:sz="4" w:space="0" w:color="auto"/>
            </w:tcBorders>
            <w:shd w:val="clear" w:color="auto" w:fill="auto"/>
            <w:noWrap/>
            <w:vAlign w:val="bottom"/>
            <w:hideMark/>
          </w:tcPr>
          <w:p w14:paraId="38223E48" w14:textId="77777777" w:rsidR="000D17FA" w:rsidRPr="008772AF" w:rsidRDefault="000D17FA" w:rsidP="008772AF">
            <w:pPr>
              <w:spacing w:after="0"/>
              <w:jc w:val="right"/>
              <w:rPr>
                <w:rFonts w:eastAsia="Times New Roman"/>
                <w:color w:val="000000"/>
                <w:sz w:val="21"/>
                <w:szCs w:val="21"/>
                <w:lang w:val="da-DK" w:eastAsia="da-DK"/>
              </w:rPr>
            </w:pPr>
            <w:r w:rsidRPr="008772AF">
              <w:rPr>
                <w:rFonts w:eastAsia="Times New Roman"/>
                <w:color w:val="000000"/>
                <w:sz w:val="21"/>
                <w:szCs w:val="21"/>
                <w:lang w:val="da-DK" w:eastAsia="da-DK"/>
              </w:rPr>
              <w:t>196.157.000</w:t>
            </w:r>
          </w:p>
        </w:tc>
        <w:tc>
          <w:tcPr>
            <w:tcW w:w="761" w:type="pct"/>
            <w:tcBorders>
              <w:top w:val="nil"/>
              <w:left w:val="nil"/>
              <w:bottom w:val="single" w:sz="4" w:space="0" w:color="auto"/>
              <w:right w:val="single" w:sz="4" w:space="0" w:color="auto"/>
            </w:tcBorders>
            <w:shd w:val="clear" w:color="auto" w:fill="auto"/>
            <w:noWrap/>
            <w:vAlign w:val="bottom"/>
            <w:hideMark/>
          </w:tcPr>
          <w:p w14:paraId="14BC2CD8" w14:textId="38631AFF" w:rsidR="000D17FA" w:rsidRPr="008772AF" w:rsidRDefault="000D17FA" w:rsidP="008772AF">
            <w:pPr>
              <w:spacing w:after="0"/>
              <w:jc w:val="right"/>
              <w:rPr>
                <w:rFonts w:eastAsia="Times New Roman"/>
                <w:color w:val="000000"/>
                <w:sz w:val="21"/>
                <w:szCs w:val="21"/>
                <w:lang w:val="da-DK" w:eastAsia="da-DK"/>
              </w:rPr>
            </w:pPr>
            <w:r>
              <w:rPr>
                <w:rFonts w:eastAsia="Times New Roman"/>
                <w:color w:val="000000"/>
                <w:sz w:val="21"/>
                <w:szCs w:val="21"/>
                <w:lang w:val="da-DK" w:eastAsia="da-DK"/>
              </w:rPr>
              <w:t>284.213.957</w:t>
            </w:r>
          </w:p>
        </w:tc>
        <w:tc>
          <w:tcPr>
            <w:tcW w:w="761" w:type="pct"/>
            <w:tcBorders>
              <w:top w:val="nil"/>
              <w:left w:val="nil"/>
              <w:bottom w:val="single" w:sz="4" w:space="0" w:color="auto"/>
              <w:right w:val="single" w:sz="4" w:space="0" w:color="auto"/>
            </w:tcBorders>
            <w:shd w:val="clear" w:color="auto" w:fill="auto"/>
            <w:noWrap/>
            <w:vAlign w:val="bottom"/>
            <w:hideMark/>
          </w:tcPr>
          <w:p w14:paraId="12112866" w14:textId="77777777" w:rsidR="000D17FA" w:rsidRPr="008772AF" w:rsidRDefault="000D17FA" w:rsidP="008772AF">
            <w:pPr>
              <w:spacing w:after="0"/>
              <w:jc w:val="right"/>
              <w:rPr>
                <w:rFonts w:eastAsia="Times New Roman"/>
                <w:color w:val="000000"/>
                <w:sz w:val="21"/>
                <w:szCs w:val="21"/>
                <w:lang w:val="da-DK" w:eastAsia="da-DK"/>
              </w:rPr>
            </w:pPr>
            <w:r w:rsidRPr="008772AF">
              <w:rPr>
                <w:rFonts w:eastAsia="Times New Roman"/>
                <w:color w:val="000000"/>
                <w:sz w:val="21"/>
                <w:szCs w:val="21"/>
                <w:lang w:val="da-DK" w:eastAsia="da-DK"/>
              </w:rPr>
              <w:t>276.714.484</w:t>
            </w:r>
          </w:p>
        </w:tc>
        <w:tc>
          <w:tcPr>
            <w:tcW w:w="761" w:type="pct"/>
            <w:tcBorders>
              <w:top w:val="nil"/>
              <w:left w:val="nil"/>
              <w:bottom w:val="single" w:sz="4" w:space="0" w:color="auto"/>
              <w:right w:val="single" w:sz="4" w:space="0" w:color="auto"/>
            </w:tcBorders>
            <w:shd w:val="clear" w:color="auto" w:fill="auto"/>
            <w:noWrap/>
            <w:vAlign w:val="bottom"/>
            <w:hideMark/>
          </w:tcPr>
          <w:p w14:paraId="374780EF" w14:textId="77777777" w:rsidR="000D17FA" w:rsidRPr="008772AF" w:rsidRDefault="000D17FA" w:rsidP="008772AF">
            <w:pPr>
              <w:spacing w:after="0"/>
              <w:jc w:val="right"/>
              <w:rPr>
                <w:rFonts w:eastAsia="Times New Roman"/>
                <w:color w:val="000000"/>
                <w:sz w:val="21"/>
                <w:szCs w:val="21"/>
                <w:lang w:val="da-DK" w:eastAsia="da-DK"/>
              </w:rPr>
            </w:pPr>
            <w:r w:rsidRPr="008772AF">
              <w:rPr>
                <w:rFonts w:eastAsia="Times New Roman"/>
                <w:color w:val="000000"/>
                <w:sz w:val="21"/>
                <w:szCs w:val="21"/>
                <w:lang w:val="da-DK" w:eastAsia="da-DK"/>
              </w:rPr>
              <w:t>269.630.693</w:t>
            </w:r>
          </w:p>
        </w:tc>
      </w:tr>
      <w:tr w:rsidR="000D17FA" w:rsidRPr="008772AF" w14:paraId="495C7456" w14:textId="77777777" w:rsidTr="000D17FA">
        <w:trPr>
          <w:trHeight w:val="307"/>
        </w:trPr>
        <w:tc>
          <w:tcPr>
            <w:tcW w:w="1164" w:type="pct"/>
            <w:tcBorders>
              <w:top w:val="nil"/>
              <w:left w:val="single" w:sz="8" w:space="0" w:color="auto"/>
              <w:bottom w:val="single" w:sz="8" w:space="0" w:color="auto"/>
              <w:right w:val="single" w:sz="4" w:space="0" w:color="auto"/>
            </w:tcBorders>
            <w:shd w:val="clear" w:color="auto" w:fill="auto"/>
            <w:noWrap/>
            <w:vAlign w:val="bottom"/>
            <w:hideMark/>
          </w:tcPr>
          <w:p w14:paraId="661828E7" w14:textId="31A64EFA" w:rsidR="000D17FA" w:rsidRPr="00CF4D17" w:rsidRDefault="000D17FA" w:rsidP="00457418">
            <w:pPr>
              <w:spacing w:after="0"/>
              <w:rPr>
                <w:rFonts w:eastAsia="Times New Roman"/>
                <w:color w:val="000000"/>
                <w:sz w:val="22"/>
                <w:szCs w:val="22"/>
                <w:lang w:eastAsia="da-DK"/>
              </w:rPr>
            </w:pPr>
            <w:r w:rsidRPr="00CF4D17">
              <w:rPr>
                <w:rFonts w:eastAsia="Times New Roman"/>
                <w:color w:val="000000"/>
                <w:sz w:val="22"/>
                <w:szCs w:val="22"/>
                <w:lang w:eastAsia="da-DK"/>
              </w:rPr>
              <w:t>Nýggja uppskotið*</w:t>
            </w:r>
          </w:p>
        </w:tc>
        <w:tc>
          <w:tcPr>
            <w:tcW w:w="793" w:type="pct"/>
            <w:tcBorders>
              <w:top w:val="nil"/>
              <w:left w:val="nil"/>
              <w:bottom w:val="single" w:sz="4" w:space="0" w:color="auto"/>
              <w:right w:val="single" w:sz="4" w:space="0" w:color="auto"/>
            </w:tcBorders>
            <w:shd w:val="clear" w:color="auto" w:fill="auto"/>
            <w:noWrap/>
            <w:vAlign w:val="bottom"/>
            <w:hideMark/>
          </w:tcPr>
          <w:p w14:paraId="5EE1D804" w14:textId="77777777" w:rsidR="000D17FA" w:rsidRPr="008772AF" w:rsidRDefault="000D17FA" w:rsidP="008772AF">
            <w:pPr>
              <w:spacing w:after="0"/>
              <w:jc w:val="right"/>
              <w:rPr>
                <w:rFonts w:eastAsia="Times New Roman"/>
                <w:color w:val="000000"/>
                <w:sz w:val="21"/>
                <w:szCs w:val="21"/>
                <w:lang w:val="da-DK" w:eastAsia="da-DK"/>
              </w:rPr>
            </w:pPr>
            <w:r w:rsidRPr="008772AF">
              <w:rPr>
                <w:rFonts w:eastAsia="Times New Roman"/>
                <w:color w:val="000000"/>
                <w:sz w:val="21"/>
                <w:szCs w:val="21"/>
                <w:lang w:val="da-DK" w:eastAsia="da-DK"/>
              </w:rPr>
              <w:t>67.408.090</w:t>
            </w:r>
          </w:p>
        </w:tc>
        <w:tc>
          <w:tcPr>
            <w:tcW w:w="761" w:type="pct"/>
            <w:tcBorders>
              <w:top w:val="nil"/>
              <w:left w:val="nil"/>
              <w:bottom w:val="single" w:sz="8" w:space="0" w:color="auto"/>
              <w:right w:val="single" w:sz="4" w:space="0" w:color="auto"/>
            </w:tcBorders>
            <w:shd w:val="clear" w:color="auto" w:fill="auto"/>
            <w:noWrap/>
            <w:vAlign w:val="bottom"/>
            <w:hideMark/>
          </w:tcPr>
          <w:p w14:paraId="1928FB68" w14:textId="77777777" w:rsidR="000D17FA" w:rsidRPr="008772AF" w:rsidRDefault="000D17FA" w:rsidP="008772AF">
            <w:pPr>
              <w:spacing w:after="0"/>
              <w:jc w:val="right"/>
              <w:rPr>
                <w:rFonts w:eastAsia="Times New Roman"/>
                <w:color w:val="000000"/>
                <w:sz w:val="21"/>
                <w:szCs w:val="21"/>
                <w:lang w:val="da-DK" w:eastAsia="da-DK"/>
              </w:rPr>
            </w:pPr>
            <w:r w:rsidRPr="008772AF">
              <w:rPr>
                <w:rFonts w:eastAsia="Times New Roman"/>
                <w:color w:val="000000"/>
                <w:sz w:val="21"/>
                <w:szCs w:val="21"/>
                <w:lang w:val="da-DK" w:eastAsia="da-DK"/>
              </w:rPr>
              <w:t>134.793.034</w:t>
            </w:r>
          </w:p>
        </w:tc>
        <w:tc>
          <w:tcPr>
            <w:tcW w:w="761" w:type="pct"/>
            <w:tcBorders>
              <w:top w:val="nil"/>
              <w:left w:val="nil"/>
              <w:bottom w:val="single" w:sz="8" w:space="0" w:color="auto"/>
              <w:right w:val="single" w:sz="4" w:space="0" w:color="auto"/>
            </w:tcBorders>
            <w:shd w:val="clear" w:color="auto" w:fill="auto"/>
            <w:noWrap/>
            <w:vAlign w:val="bottom"/>
            <w:hideMark/>
          </w:tcPr>
          <w:p w14:paraId="5441721D" w14:textId="241852EA" w:rsidR="000D17FA" w:rsidRPr="008772AF" w:rsidRDefault="000D17FA" w:rsidP="008772AF">
            <w:pPr>
              <w:spacing w:after="0"/>
              <w:jc w:val="right"/>
              <w:rPr>
                <w:rFonts w:eastAsia="Times New Roman"/>
                <w:color w:val="000000"/>
                <w:sz w:val="21"/>
                <w:szCs w:val="21"/>
                <w:lang w:val="da-DK" w:eastAsia="da-DK"/>
              </w:rPr>
            </w:pPr>
            <w:r w:rsidRPr="001408CA">
              <w:rPr>
                <w:rFonts w:eastAsia="Times New Roman"/>
                <w:color w:val="000000"/>
                <w:sz w:val="21"/>
                <w:szCs w:val="21"/>
                <w:lang w:val="da-DK" w:eastAsia="da-DK"/>
              </w:rPr>
              <w:t>5</w:t>
            </w:r>
            <w:r>
              <w:rPr>
                <w:rFonts w:eastAsia="Times New Roman"/>
                <w:color w:val="000000"/>
                <w:sz w:val="21"/>
                <w:szCs w:val="21"/>
                <w:lang w:val="da-DK" w:eastAsia="da-DK"/>
              </w:rPr>
              <w:t>49.594.432</w:t>
            </w:r>
          </w:p>
        </w:tc>
        <w:tc>
          <w:tcPr>
            <w:tcW w:w="761" w:type="pct"/>
            <w:tcBorders>
              <w:top w:val="nil"/>
              <w:left w:val="nil"/>
              <w:bottom w:val="single" w:sz="8" w:space="0" w:color="auto"/>
              <w:right w:val="single" w:sz="4" w:space="0" w:color="auto"/>
            </w:tcBorders>
            <w:shd w:val="clear" w:color="auto" w:fill="auto"/>
            <w:noWrap/>
            <w:vAlign w:val="bottom"/>
            <w:hideMark/>
          </w:tcPr>
          <w:p w14:paraId="6DC39840" w14:textId="77777777" w:rsidR="000D17FA" w:rsidRPr="008772AF" w:rsidRDefault="000D17FA" w:rsidP="008772AF">
            <w:pPr>
              <w:spacing w:after="0"/>
              <w:jc w:val="right"/>
              <w:rPr>
                <w:rFonts w:eastAsia="Times New Roman"/>
                <w:color w:val="000000"/>
                <w:sz w:val="21"/>
                <w:szCs w:val="21"/>
                <w:lang w:val="da-DK" w:eastAsia="da-DK"/>
              </w:rPr>
            </w:pPr>
            <w:r w:rsidRPr="008772AF">
              <w:rPr>
                <w:rFonts w:eastAsia="Times New Roman"/>
                <w:color w:val="000000"/>
                <w:sz w:val="21"/>
                <w:szCs w:val="21"/>
                <w:lang w:val="da-DK" w:eastAsia="da-DK"/>
              </w:rPr>
              <w:t>489.651.755</w:t>
            </w:r>
          </w:p>
        </w:tc>
        <w:tc>
          <w:tcPr>
            <w:tcW w:w="761" w:type="pct"/>
            <w:tcBorders>
              <w:top w:val="nil"/>
              <w:left w:val="nil"/>
              <w:bottom w:val="single" w:sz="8" w:space="0" w:color="auto"/>
              <w:right w:val="single" w:sz="4" w:space="0" w:color="auto"/>
            </w:tcBorders>
            <w:shd w:val="clear" w:color="auto" w:fill="auto"/>
            <w:noWrap/>
            <w:vAlign w:val="bottom"/>
            <w:hideMark/>
          </w:tcPr>
          <w:p w14:paraId="03B4C7AA" w14:textId="77777777" w:rsidR="000D17FA" w:rsidRPr="008772AF" w:rsidRDefault="000D17FA" w:rsidP="008772AF">
            <w:pPr>
              <w:spacing w:after="0"/>
              <w:jc w:val="right"/>
              <w:rPr>
                <w:rFonts w:eastAsia="Times New Roman"/>
                <w:color w:val="000000"/>
                <w:sz w:val="21"/>
                <w:szCs w:val="21"/>
                <w:lang w:val="da-DK" w:eastAsia="da-DK"/>
              </w:rPr>
            </w:pPr>
            <w:r w:rsidRPr="008772AF">
              <w:rPr>
                <w:rFonts w:eastAsia="Times New Roman"/>
                <w:color w:val="000000"/>
                <w:sz w:val="21"/>
                <w:szCs w:val="21"/>
                <w:lang w:val="da-DK" w:eastAsia="da-DK"/>
              </w:rPr>
              <w:t>364.349.087</w:t>
            </w:r>
          </w:p>
        </w:tc>
      </w:tr>
      <w:tr w:rsidR="000D17FA" w:rsidRPr="008772AF" w14:paraId="7D089793" w14:textId="77777777" w:rsidTr="000D17FA">
        <w:trPr>
          <w:trHeight w:val="307"/>
        </w:trPr>
        <w:tc>
          <w:tcPr>
            <w:tcW w:w="1164" w:type="pct"/>
            <w:tcBorders>
              <w:top w:val="nil"/>
              <w:left w:val="single" w:sz="8" w:space="0" w:color="auto"/>
              <w:bottom w:val="single" w:sz="8" w:space="0" w:color="auto"/>
              <w:right w:val="single" w:sz="4" w:space="0" w:color="auto"/>
            </w:tcBorders>
            <w:shd w:val="clear" w:color="auto" w:fill="auto"/>
            <w:noWrap/>
            <w:vAlign w:val="bottom"/>
            <w:hideMark/>
          </w:tcPr>
          <w:p w14:paraId="7AE7EE31" w14:textId="77777777" w:rsidR="000D17FA" w:rsidRPr="00CF4D17" w:rsidRDefault="000D17FA" w:rsidP="008772AF">
            <w:pPr>
              <w:spacing w:after="0"/>
              <w:rPr>
                <w:rFonts w:eastAsia="Times New Roman"/>
                <w:color w:val="000000"/>
                <w:sz w:val="22"/>
                <w:szCs w:val="22"/>
                <w:lang w:eastAsia="da-DK"/>
              </w:rPr>
            </w:pPr>
            <w:r w:rsidRPr="00CF4D17">
              <w:rPr>
                <w:rFonts w:eastAsia="Times New Roman"/>
                <w:color w:val="000000"/>
                <w:sz w:val="22"/>
                <w:szCs w:val="22"/>
                <w:lang w:eastAsia="da-DK"/>
              </w:rPr>
              <w:t>Munur</w:t>
            </w:r>
          </w:p>
        </w:tc>
        <w:tc>
          <w:tcPr>
            <w:tcW w:w="793" w:type="pct"/>
            <w:tcBorders>
              <w:top w:val="single" w:sz="8" w:space="0" w:color="auto"/>
              <w:left w:val="nil"/>
              <w:bottom w:val="single" w:sz="8" w:space="0" w:color="auto"/>
              <w:right w:val="single" w:sz="4" w:space="0" w:color="auto"/>
            </w:tcBorders>
            <w:shd w:val="clear" w:color="auto" w:fill="auto"/>
            <w:noWrap/>
            <w:vAlign w:val="bottom"/>
            <w:hideMark/>
          </w:tcPr>
          <w:p w14:paraId="40DE2A4E" w14:textId="77777777" w:rsidR="000D17FA" w:rsidRPr="008772AF" w:rsidRDefault="000D17FA" w:rsidP="008772AF">
            <w:pPr>
              <w:spacing w:after="0"/>
              <w:jc w:val="right"/>
              <w:rPr>
                <w:rFonts w:eastAsia="Times New Roman"/>
                <w:color w:val="000000"/>
                <w:sz w:val="21"/>
                <w:szCs w:val="21"/>
                <w:lang w:val="da-DK" w:eastAsia="da-DK"/>
              </w:rPr>
            </w:pPr>
            <w:r w:rsidRPr="008772AF">
              <w:rPr>
                <w:rFonts w:eastAsia="Times New Roman"/>
                <w:color w:val="000000"/>
                <w:sz w:val="21"/>
                <w:szCs w:val="21"/>
                <w:lang w:val="da-DK" w:eastAsia="da-DK"/>
              </w:rPr>
              <w:t>-14.404.910</w:t>
            </w:r>
          </w:p>
        </w:tc>
        <w:tc>
          <w:tcPr>
            <w:tcW w:w="761" w:type="pct"/>
            <w:tcBorders>
              <w:top w:val="nil"/>
              <w:left w:val="nil"/>
              <w:bottom w:val="single" w:sz="8" w:space="0" w:color="auto"/>
              <w:right w:val="single" w:sz="4" w:space="0" w:color="auto"/>
            </w:tcBorders>
            <w:shd w:val="clear" w:color="auto" w:fill="auto"/>
            <w:noWrap/>
            <w:vAlign w:val="bottom"/>
            <w:hideMark/>
          </w:tcPr>
          <w:p w14:paraId="2609BC5E" w14:textId="77777777" w:rsidR="000D17FA" w:rsidRPr="008772AF" w:rsidRDefault="000D17FA" w:rsidP="008772AF">
            <w:pPr>
              <w:spacing w:after="0"/>
              <w:jc w:val="right"/>
              <w:rPr>
                <w:rFonts w:eastAsia="Times New Roman"/>
                <w:color w:val="000000"/>
                <w:sz w:val="21"/>
                <w:szCs w:val="21"/>
                <w:lang w:val="da-DK" w:eastAsia="da-DK"/>
              </w:rPr>
            </w:pPr>
            <w:r w:rsidRPr="008772AF">
              <w:rPr>
                <w:rFonts w:eastAsia="Times New Roman"/>
                <w:color w:val="000000"/>
                <w:sz w:val="21"/>
                <w:szCs w:val="21"/>
                <w:lang w:val="da-DK" w:eastAsia="da-DK"/>
              </w:rPr>
              <w:t>-61.363.966</w:t>
            </w:r>
          </w:p>
        </w:tc>
        <w:tc>
          <w:tcPr>
            <w:tcW w:w="761" w:type="pct"/>
            <w:tcBorders>
              <w:top w:val="nil"/>
              <w:left w:val="nil"/>
              <w:bottom w:val="single" w:sz="8" w:space="0" w:color="auto"/>
              <w:right w:val="single" w:sz="4" w:space="0" w:color="auto"/>
            </w:tcBorders>
            <w:shd w:val="clear" w:color="auto" w:fill="auto"/>
            <w:noWrap/>
            <w:vAlign w:val="bottom"/>
            <w:hideMark/>
          </w:tcPr>
          <w:p w14:paraId="5E8C274E" w14:textId="4D0F80C0" w:rsidR="000D17FA" w:rsidRPr="008772AF" w:rsidRDefault="000D17FA" w:rsidP="008772AF">
            <w:pPr>
              <w:spacing w:after="0"/>
              <w:jc w:val="right"/>
              <w:rPr>
                <w:rFonts w:eastAsia="Times New Roman"/>
                <w:color w:val="000000"/>
                <w:sz w:val="21"/>
                <w:szCs w:val="21"/>
                <w:lang w:val="da-DK" w:eastAsia="da-DK"/>
              </w:rPr>
            </w:pPr>
            <w:r>
              <w:rPr>
                <w:rFonts w:eastAsia="Times New Roman"/>
                <w:color w:val="000000"/>
                <w:sz w:val="21"/>
                <w:szCs w:val="21"/>
                <w:lang w:val="da-DK" w:eastAsia="da-DK"/>
              </w:rPr>
              <w:t>265.380.475</w:t>
            </w:r>
          </w:p>
        </w:tc>
        <w:tc>
          <w:tcPr>
            <w:tcW w:w="761" w:type="pct"/>
            <w:tcBorders>
              <w:top w:val="nil"/>
              <w:left w:val="nil"/>
              <w:bottom w:val="single" w:sz="8" w:space="0" w:color="auto"/>
              <w:right w:val="single" w:sz="4" w:space="0" w:color="auto"/>
            </w:tcBorders>
            <w:shd w:val="clear" w:color="auto" w:fill="auto"/>
            <w:noWrap/>
            <w:vAlign w:val="bottom"/>
            <w:hideMark/>
          </w:tcPr>
          <w:p w14:paraId="41CCCE47" w14:textId="77777777" w:rsidR="000D17FA" w:rsidRPr="008772AF" w:rsidRDefault="000D17FA" w:rsidP="008772AF">
            <w:pPr>
              <w:spacing w:after="0"/>
              <w:jc w:val="right"/>
              <w:rPr>
                <w:rFonts w:eastAsia="Times New Roman"/>
                <w:color w:val="000000"/>
                <w:sz w:val="21"/>
                <w:szCs w:val="21"/>
                <w:lang w:val="da-DK" w:eastAsia="da-DK"/>
              </w:rPr>
            </w:pPr>
            <w:r w:rsidRPr="008772AF">
              <w:rPr>
                <w:rFonts w:eastAsia="Times New Roman"/>
                <w:color w:val="000000"/>
                <w:sz w:val="21"/>
                <w:szCs w:val="21"/>
                <w:lang w:val="da-DK" w:eastAsia="da-DK"/>
              </w:rPr>
              <w:t>212.937.271</w:t>
            </w:r>
          </w:p>
        </w:tc>
        <w:tc>
          <w:tcPr>
            <w:tcW w:w="761" w:type="pct"/>
            <w:tcBorders>
              <w:top w:val="nil"/>
              <w:left w:val="nil"/>
              <w:bottom w:val="single" w:sz="8" w:space="0" w:color="auto"/>
              <w:right w:val="single" w:sz="4" w:space="0" w:color="auto"/>
            </w:tcBorders>
            <w:shd w:val="clear" w:color="auto" w:fill="auto"/>
            <w:noWrap/>
            <w:vAlign w:val="bottom"/>
            <w:hideMark/>
          </w:tcPr>
          <w:p w14:paraId="691245B1" w14:textId="77777777" w:rsidR="000D17FA" w:rsidRPr="008772AF" w:rsidRDefault="000D17FA" w:rsidP="008772AF">
            <w:pPr>
              <w:spacing w:after="0"/>
              <w:jc w:val="right"/>
              <w:rPr>
                <w:rFonts w:eastAsia="Times New Roman"/>
                <w:color w:val="000000"/>
                <w:sz w:val="21"/>
                <w:szCs w:val="21"/>
                <w:lang w:val="da-DK" w:eastAsia="da-DK"/>
              </w:rPr>
            </w:pPr>
            <w:r w:rsidRPr="008772AF">
              <w:rPr>
                <w:rFonts w:eastAsia="Times New Roman"/>
                <w:color w:val="000000"/>
                <w:sz w:val="21"/>
                <w:szCs w:val="21"/>
                <w:lang w:val="da-DK" w:eastAsia="da-DK"/>
              </w:rPr>
              <w:t>94.718.394</w:t>
            </w:r>
          </w:p>
        </w:tc>
      </w:tr>
    </w:tbl>
    <w:p w14:paraId="009E55FC" w14:textId="3B9C14D3" w:rsidR="008772AF" w:rsidRPr="008A6DE8" w:rsidRDefault="00B71D42" w:rsidP="00B71D42">
      <w:pPr>
        <w:spacing w:after="0"/>
        <w:jc w:val="both"/>
        <w:rPr>
          <w:i/>
          <w:iCs/>
          <w:sz w:val="22"/>
          <w:szCs w:val="22"/>
        </w:rPr>
      </w:pPr>
      <w:r w:rsidRPr="008A6DE8">
        <w:rPr>
          <w:i/>
          <w:iCs/>
          <w:sz w:val="22"/>
          <w:szCs w:val="22"/>
        </w:rPr>
        <w:t>*</w:t>
      </w:r>
      <w:r w:rsidR="00BE0698" w:rsidRPr="00BE0698">
        <w:rPr>
          <w:i/>
          <w:iCs/>
          <w:sz w:val="22"/>
          <w:szCs w:val="22"/>
        </w:rPr>
        <w:t xml:space="preserve">Viðmerkjast skal, at framleiðslukostnaðurin, ið </w:t>
      </w:r>
      <w:r w:rsidR="0026008A">
        <w:rPr>
          <w:i/>
          <w:iCs/>
          <w:sz w:val="22"/>
          <w:szCs w:val="22"/>
        </w:rPr>
        <w:t>er</w:t>
      </w:r>
      <w:r w:rsidR="00BE0698" w:rsidRPr="00BE0698">
        <w:rPr>
          <w:i/>
          <w:iCs/>
          <w:sz w:val="22"/>
          <w:szCs w:val="22"/>
        </w:rPr>
        <w:t xml:space="preserve"> nýttur í sambandi við útrokningarnar, </w:t>
      </w:r>
      <w:r w:rsidR="0026008A">
        <w:rPr>
          <w:i/>
          <w:iCs/>
          <w:sz w:val="22"/>
          <w:szCs w:val="22"/>
        </w:rPr>
        <w:t>er</w:t>
      </w:r>
      <w:r w:rsidR="00BE0698" w:rsidRPr="00BE0698">
        <w:rPr>
          <w:i/>
          <w:iCs/>
          <w:sz w:val="22"/>
          <w:szCs w:val="22"/>
        </w:rPr>
        <w:t xml:space="preserve"> roknaður við støði í roknskapartølum fyri roknskaparárið 2021</w:t>
      </w:r>
      <w:r w:rsidR="00BE0698">
        <w:rPr>
          <w:i/>
          <w:iCs/>
          <w:sz w:val="22"/>
          <w:szCs w:val="22"/>
        </w:rPr>
        <w:t>.</w:t>
      </w:r>
    </w:p>
    <w:p w14:paraId="7A939D7A" w14:textId="77777777" w:rsidR="00B71D42" w:rsidRDefault="00B71D42" w:rsidP="00021780">
      <w:pPr>
        <w:spacing w:after="0"/>
        <w:jc w:val="both"/>
      </w:pPr>
    </w:p>
    <w:p w14:paraId="17C96380" w14:textId="6198B98D" w:rsidR="00021780" w:rsidRDefault="00021780" w:rsidP="00021780">
      <w:pPr>
        <w:spacing w:after="0"/>
        <w:jc w:val="both"/>
      </w:pPr>
      <w:r>
        <w:t xml:space="preserve">Sum </w:t>
      </w:r>
      <w:r w:rsidR="00432CBA">
        <w:t>áður nevnt</w:t>
      </w:r>
      <w:r>
        <w:t xml:space="preserve"> tryggjar nýggja skipanin, at alifyritøkur skulu gjalda lutfalsliga hægri tøkugjald, tá laksaprísurin er høgur, og samstundis gjalda minni,</w:t>
      </w:r>
      <w:r w:rsidR="00FB5678">
        <w:t xml:space="preserve"> í tíðarskeiðum við lægri</w:t>
      </w:r>
      <w:r>
        <w:t xml:space="preserve"> prís</w:t>
      </w:r>
      <w:r w:rsidR="00FB5678">
        <w:t>i</w:t>
      </w:r>
      <w:r>
        <w:t>. Í talvu 2 sæst, hvussu nógv landið væntar í meirinntøku av nýggju skipanini árini 2023 og 2024. Metingin omanfyr</w:t>
      </w:r>
      <w:r w:rsidRPr="00023C59">
        <w:t>i tekur støði í</w:t>
      </w:r>
      <w:r w:rsidR="00480FEC">
        <w:t xml:space="preserve"> </w:t>
      </w:r>
      <w:r w:rsidRPr="00023C59">
        <w:t>prís</w:t>
      </w:r>
      <w:r w:rsidR="00480FEC">
        <w:t xml:space="preserve">um á </w:t>
      </w:r>
      <w:r w:rsidRPr="00023C59">
        <w:t>Fish Pool</w:t>
      </w:r>
      <w:r w:rsidR="00480FEC">
        <w:t>. Fyri</w:t>
      </w:r>
      <w:r w:rsidRPr="00023C59">
        <w:t xml:space="preserve"> 2022</w:t>
      </w:r>
      <w:r w:rsidR="00480FEC">
        <w:t xml:space="preserve"> eru spotprísir nýttir meðan forwardprísir eru nýttir til metingarnar fyri</w:t>
      </w:r>
      <w:r w:rsidRPr="00023C59">
        <w:t xml:space="preserve"> 2023 og 2024. Samlaða tøkan 2022 </w:t>
      </w:r>
      <w:r w:rsidR="00023C59" w:rsidRPr="00023C59">
        <w:t>va</w:t>
      </w:r>
      <w:r w:rsidRPr="00023C59">
        <w:t xml:space="preserve">r </w:t>
      </w:r>
      <w:r w:rsidR="00023C59" w:rsidRPr="00023C59">
        <w:t>áleið</w:t>
      </w:r>
      <w:r w:rsidRPr="00023C59">
        <w:t xml:space="preserve"> </w:t>
      </w:r>
      <w:r w:rsidR="00023C59" w:rsidRPr="00023C59">
        <w:t>6</w:t>
      </w:r>
      <w:r w:rsidRPr="00023C59">
        <w:t>% lægri enn í 2021, meðan tøkan í 2023 og 2024 verður mett at hækka 5 % hvørt árið.</w:t>
      </w:r>
      <w:r w:rsidR="00CF35B5">
        <w:t xml:space="preserve"> </w:t>
      </w:r>
    </w:p>
    <w:p w14:paraId="23FAEFE8" w14:textId="77777777" w:rsidR="00021780" w:rsidRDefault="00021780" w:rsidP="00021780">
      <w:pPr>
        <w:spacing w:after="0"/>
        <w:jc w:val="both"/>
      </w:pPr>
    </w:p>
    <w:p w14:paraId="6CD258EB" w14:textId="77777777" w:rsidR="00021780" w:rsidRPr="007B1ABF" w:rsidRDefault="00021780" w:rsidP="00021780">
      <w:pPr>
        <w:spacing w:after="0"/>
        <w:jc w:val="both"/>
        <w:rPr>
          <w:i/>
          <w:iCs/>
        </w:rPr>
      </w:pPr>
      <w:r w:rsidRPr="00754523">
        <w:rPr>
          <w:i/>
          <w:iCs/>
        </w:rPr>
        <w:t>Avleiðing fyri tøkugjaldið</w:t>
      </w:r>
    </w:p>
    <w:p w14:paraId="5CAA0DB4" w14:textId="2315F4D8" w:rsidR="00021780" w:rsidRDefault="00021780" w:rsidP="00021780">
      <w:pPr>
        <w:spacing w:after="0"/>
        <w:jc w:val="both"/>
      </w:pPr>
      <w:r>
        <w:t xml:space="preserve">Eftir </w:t>
      </w:r>
      <w:r w:rsidRPr="00F0642B">
        <w:t>verandi skipan hevði landið fingið 2</w:t>
      </w:r>
      <w:r w:rsidR="00D40725" w:rsidRPr="00F0642B">
        <w:t>76,7</w:t>
      </w:r>
      <w:r w:rsidRPr="00F0642B">
        <w:t xml:space="preserve"> mió. kr. í tøkugjaldi í 2023. Eftir nýggju skipanini fær landið </w:t>
      </w:r>
      <w:r w:rsidR="00D40725" w:rsidRPr="00545469">
        <w:t>48</w:t>
      </w:r>
      <w:r w:rsidR="00F0642B" w:rsidRPr="00545469">
        <w:t>9</w:t>
      </w:r>
      <w:r w:rsidR="00D40725" w:rsidRPr="00545469">
        <w:t>,</w:t>
      </w:r>
      <w:r w:rsidR="00F0642B" w:rsidRPr="00545469">
        <w:t>7</w:t>
      </w:r>
      <w:r w:rsidRPr="00F0642B">
        <w:t xml:space="preserve"> mió. kr. í tøkugjaldi í 2023. Metingin</w:t>
      </w:r>
      <w:r w:rsidRPr="008A4884">
        <w:t xml:space="preserve"> er sostatt, at landskassin </w:t>
      </w:r>
      <w:r w:rsidR="00C64A6D" w:rsidRPr="008A4884">
        <w:t xml:space="preserve">hevði </w:t>
      </w:r>
      <w:r w:rsidR="00C64A6D" w:rsidRPr="00FD6158">
        <w:t>fingið</w:t>
      </w:r>
      <w:r w:rsidRPr="00FD6158">
        <w:t xml:space="preserve"> </w:t>
      </w:r>
      <w:r w:rsidR="00D40725" w:rsidRPr="00FD6158">
        <w:t>2</w:t>
      </w:r>
      <w:r w:rsidR="00F0642B" w:rsidRPr="00FD6158">
        <w:t>12</w:t>
      </w:r>
      <w:r w:rsidR="001E7D38" w:rsidRPr="00FD6158">
        <w:t>,</w:t>
      </w:r>
      <w:r w:rsidR="00F0642B" w:rsidRPr="00FD6158">
        <w:t>9</w:t>
      </w:r>
      <w:r w:rsidRPr="00FD6158">
        <w:t xml:space="preserve"> mió</w:t>
      </w:r>
      <w:r w:rsidRPr="00F0642B">
        <w:t>. kr. í øktari</w:t>
      </w:r>
      <w:r w:rsidRPr="008A4884">
        <w:t xml:space="preserve"> inntøku sum avleiðing av lógaruppskotinum</w:t>
      </w:r>
      <w:r w:rsidR="0068581D">
        <w:t>,</w:t>
      </w:r>
      <w:r w:rsidR="00C64A6D" w:rsidRPr="008A4884">
        <w:t xml:space="preserve"> um skipanin hevði havt gildið alt 2023</w:t>
      </w:r>
      <w:r w:rsidR="00B44CDA" w:rsidRPr="008A4884">
        <w:t>.</w:t>
      </w:r>
      <w:r w:rsidR="00DD1717" w:rsidRPr="008A4884">
        <w:t xml:space="preserve"> </w:t>
      </w:r>
      <w:r w:rsidR="005F36CD" w:rsidRPr="008A4884">
        <w:t>Treytað av</w:t>
      </w:r>
      <w:r w:rsidR="000B70F1" w:rsidRPr="008A4884">
        <w:t>,</w:t>
      </w:r>
      <w:r w:rsidR="005F36CD" w:rsidRPr="008A4884">
        <w:t xml:space="preserve"> at inntøkurnar falla javnt, og at gildiskoman verður 1. august 2023</w:t>
      </w:r>
      <w:r w:rsidR="0068581D">
        <w:t>,</w:t>
      </w:r>
      <w:r w:rsidR="005F36CD" w:rsidRPr="008A4884">
        <w:t xml:space="preserve"> </w:t>
      </w:r>
      <w:r w:rsidR="005F36CD" w:rsidRPr="00A466AF">
        <w:t xml:space="preserve">verður talan </w:t>
      </w:r>
      <w:r w:rsidR="005F36CD" w:rsidRPr="00FD6158">
        <w:t>um áleið 8</w:t>
      </w:r>
      <w:r w:rsidR="00A466AF" w:rsidRPr="00FD6158">
        <w:t>8</w:t>
      </w:r>
      <w:r w:rsidR="005F36CD" w:rsidRPr="00FD6158">
        <w:t>,</w:t>
      </w:r>
      <w:r w:rsidR="00A466AF" w:rsidRPr="00FD6158">
        <w:t>7</w:t>
      </w:r>
      <w:r w:rsidR="005F36CD" w:rsidRPr="00FD6158">
        <w:t xml:space="preserve"> mió</w:t>
      </w:r>
      <w:r w:rsidR="005F36CD" w:rsidRPr="00A466AF">
        <w:t>. kr.</w:t>
      </w:r>
      <w:r w:rsidR="000B70F1" w:rsidRPr="008A4884">
        <w:t xml:space="preserve"> </w:t>
      </w:r>
    </w:p>
    <w:p w14:paraId="02DCA69C" w14:textId="77777777" w:rsidR="00021780" w:rsidRDefault="00021780" w:rsidP="00021780">
      <w:pPr>
        <w:spacing w:after="0"/>
        <w:jc w:val="both"/>
      </w:pPr>
    </w:p>
    <w:p w14:paraId="65F05795" w14:textId="77777777" w:rsidR="00021780" w:rsidRPr="007B1ABF" w:rsidRDefault="00021780" w:rsidP="00021780">
      <w:pPr>
        <w:spacing w:after="0"/>
        <w:jc w:val="both"/>
        <w:rPr>
          <w:i/>
          <w:iCs/>
        </w:rPr>
      </w:pPr>
      <w:r w:rsidRPr="007B1ABF">
        <w:rPr>
          <w:i/>
          <w:iCs/>
        </w:rPr>
        <w:t>Avleiðing fyri partafelagsskattin</w:t>
      </w:r>
    </w:p>
    <w:p w14:paraId="505CCFB7" w14:textId="6C1CE351" w:rsidR="00021780" w:rsidRDefault="00021780" w:rsidP="00021780">
      <w:pPr>
        <w:spacing w:after="0"/>
        <w:jc w:val="both"/>
      </w:pPr>
      <w:r>
        <w:t xml:space="preserve">Tøkugjaldið </w:t>
      </w:r>
      <w:r w:rsidR="00905A0D">
        <w:t xml:space="preserve">kann sambært skattalógini § 33, nr. 18 </w:t>
      </w:r>
      <w:r>
        <w:t>dragast frá skattskyldugu inntøkuni</w:t>
      </w:r>
      <w:r w:rsidR="00905A0D">
        <w:t>.</w:t>
      </w:r>
      <w:r>
        <w:t xml:space="preserve"> Økta tøkugjaldið ger, at úrslitini hjá alifyritøkunum minka</w:t>
      </w:r>
      <w:r w:rsidR="00C624A6">
        <w:t>,</w:t>
      </w:r>
      <w:r>
        <w:t xml:space="preserve"> og harvið rinda hesi minni í partafelagsskatti. Partafelagsskatturin er í løtuni 18%.</w:t>
      </w:r>
    </w:p>
    <w:p w14:paraId="13996F22" w14:textId="77777777" w:rsidR="00021780" w:rsidRDefault="00021780" w:rsidP="00021780">
      <w:pPr>
        <w:spacing w:after="0"/>
        <w:jc w:val="both"/>
      </w:pPr>
    </w:p>
    <w:p w14:paraId="7925FB14" w14:textId="015D4401" w:rsidR="00157C50" w:rsidRDefault="00021780" w:rsidP="00021780">
      <w:pPr>
        <w:spacing w:after="0"/>
        <w:jc w:val="both"/>
      </w:pPr>
      <w:r>
        <w:t xml:space="preserve">Kommunurnar fáa 30% av partafelagsskattinum og landið fær 70%, so hetta ávirkar eisini kommunurnar. Taka </w:t>
      </w:r>
      <w:r w:rsidRPr="005B0667">
        <w:t xml:space="preserve">vit t.d. árið 2023, har metta meirinntøkan, </w:t>
      </w:r>
      <w:r w:rsidRPr="002751AF">
        <w:t xml:space="preserve">sum avleiðing av nýggju skipanini, </w:t>
      </w:r>
      <w:r w:rsidRPr="00135DE3">
        <w:t xml:space="preserve">er </w:t>
      </w:r>
      <w:r w:rsidR="005B0667" w:rsidRPr="00135DE3">
        <w:t>2</w:t>
      </w:r>
      <w:r w:rsidR="002E3609" w:rsidRPr="00135DE3">
        <w:t>12,9</w:t>
      </w:r>
      <w:r w:rsidRPr="002751AF">
        <w:t xml:space="preserve"> mió. kr., so minkar partafelagsskatturin við </w:t>
      </w:r>
      <w:r w:rsidRPr="00135DE3">
        <w:t xml:space="preserve">umleið </w:t>
      </w:r>
      <w:r w:rsidR="005B0667" w:rsidRPr="00135DE3">
        <w:t>3</w:t>
      </w:r>
      <w:r w:rsidR="002751AF" w:rsidRPr="00135DE3">
        <w:t>8</w:t>
      </w:r>
      <w:r w:rsidR="005B0667" w:rsidRPr="00135DE3">
        <w:t>,</w:t>
      </w:r>
      <w:r w:rsidR="002751AF" w:rsidRPr="00135DE3">
        <w:t>3</w:t>
      </w:r>
      <w:r w:rsidRPr="00135DE3">
        <w:t xml:space="preserve"> mió.</w:t>
      </w:r>
      <w:r w:rsidRPr="005B0667">
        <w:t xml:space="preserve"> kr. Netto eru </w:t>
      </w:r>
      <w:r w:rsidRPr="005B0667">
        <w:lastRenderedPageBreak/>
        <w:t xml:space="preserve">sostatt </w:t>
      </w:r>
      <w:r w:rsidRPr="002751AF">
        <w:t>uml</w:t>
      </w:r>
      <w:r w:rsidRPr="00135DE3">
        <w:t xml:space="preserve">eið </w:t>
      </w:r>
      <w:r w:rsidR="005B0667" w:rsidRPr="00135DE3">
        <w:t>1</w:t>
      </w:r>
      <w:r w:rsidR="002751AF" w:rsidRPr="00135DE3">
        <w:t>74,6</w:t>
      </w:r>
      <w:r w:rsidRPr="00135DE3">
        <w:t xml:space="preserve"> mió</w:t>
      </w:r>
      <w:r w:rsidRPr="005B0667">
        <w:t>.</w:t>
      </w:r>
      <w:r>
        <w:t xml:space="preserve"> kr. eftir til almennu kassarnar. Partafelagsskatturin verður tó inngoldin árið eftir</w:t>
      </w:r>
      <w:r w:rsidR="0068581D">
        <w:t>,</w:t>
      </w:r>
      <w:r>
        <w:t xml:space="preserve"> at ársúrslitið fyriliggur, í hesum førinum í 202</w:t>
      </w:r>
      <w:r w:rsidR="00C077D0">
        <w:t>4</w:t>
      </w:r>
      <w:r>
        <w:t>.</w:t>
      </w:r>
      <w:r w:rsidR="00157C50">
        <w:t xml:space="preserve"> </w:t>
      </w:r>
    </w:p>
    <w:p w14:paraId="16D0395E" w14:textId="77777777" w:rsidR="00B44CDA" w:rsidRDefault="00B44CDA" w:rsidP="00021780">
      <w:pPr>
        <w:spacing w:after="0"/>
        <w:jc w:val="both"/>
      </w:pPr>
    </w:p>
    <w:p w14:paraId="0049220E" w14:textId="08874165" w:rsidR="00021780" w:rsidRDefault="00157C50" w:rsidP="00021780">
      <w:pPr>
        <w:spacing w:after="0"/>
        <w:jc w:val="both"/>
      </w:pPr>
      <w:r>
        <w:t xml:space="preserve">Skotið verður upp, at gildiskoman verður 1. </w:t>
      </w:r>
      <w:r w:rsidR="005F36CD">
        <w:t>a</w:t>
      </w:r>
      <w:r>
        <w:t xml:space="preserve">ugust 2023 og harvið eru fíggjarligu avleiðingarnar fyri </w:t>
      </w:r>
      <w:r w:rsidR="00B44CDA">
        <w:t xml:space="preserve">skattaárið </w:t>
      </w:r>
      <w:r>
        <w:t>2023 5/12 av áðurnevndu upphæddum</w:t>
      </w:r>
      <w:r w:rsidR="00483701">
        <w:t xml:space="preserve"> treytað av</w:t>
      </w:r>
      <w:r w:rsidR="005115C1">
        <w:t>,</w:t>
      </w:r>
      <w:r w:rsidR="00483701">
        <w:t xml:space="preserve"> at inntøkurnar frá gjaldinum falla javnt gjøgnum árið</w:t>
      </w:r>
      <w:r>
        <w:t>.</w:t>
      </w:r>
      <w:r w:rsidR="0023759D">
        <w:t xml:space="preserve"> </w:t>
      </w:r>
    </w:p>
    <w:p w14:paraId="126211B4" w14:textId="574DD299" w:rsidR="0023759D" w:rsidRDefault="0023759D" w:rsidP="00021780">
      <w:pPr>
        <w:spacing w:after="0"/>
        <w:jc w:val="both"/>
      </w:pPr>
    </w:p>
    <w:p w14:paraId="35000EA1" w14:textId="77777777" w:rsidR="00021780" w:rsidRPr="007B1ABF" w:rsidRDefault="00021780" w:rsidP="00021780">
      <w:pPr>
        <w:spacing w:after="0"/>
        <w:jc w:val="both"/>
        <w:rPr>
          <w:i/>
          <w:iCs/>
        </w:rPr>
      </w:pPr>
      <w:r w:rsidRPr="007B1ABF">
        <w:rPr>
          <w:i/>
          <w:iCs/>
        </w:rPr>
        <w:t>Avleiðing fyri skatt á vinningsbýti</w:t>
      </w:r>
    </w:p>
    <w:p w14:paraId="5E3DFCD3" w14:textId="37532378" w:rsidR="00021780" w:rsidRDefault="00021780" w:rsidP="00021780">
      <w:pPr>
        <w:spacing w:after="0"/>
        <w:jc w:val="both"/>
      </w:pPr>
      <w:r>
        <w:t xml:space="preserve">Eitt økt tøkugjald </w:t>
      </w:r>
      <w:r w:rsidRPr="00157C50">
        <w:t>merkir alt annað líka, at minni verður at luta út til partaeigararnar, og tí minkar skatturin av vinningsbýti eisini. Í miðal fær landið 7,4% av rakstrarúrslitinum inn í vinningsbýtisskatti. Hetta merkir, at um vit økja rakstrarkostnaðin hjá alivinnuni við einum øktum tøkugjaldi, so missa vit 7,4</w:t>
      </w:r>
      <w:r w:rsidRPr="00AF2E4F">
        <w:t xml:space="preserve">% av hesi øktu inntøkuni sum ein lækkaðan vinningsbýtisskatt. Hetta svarar til áleið </w:t>
      </w:r>
      <w:r w:rsidR="00157C50" w:rsidRPr="00917030">
        <w:t>15,</w:t>
      </w:r>
      <w:r w:rsidR="00AF2E4F" w:rsidRPr="00917030">
        <w:t>8</w:t>
      </w:r>
      <w:r w:rsidRPr="00AF2E4F">
        <w:t xml:space="preserve"> mió. kr.</w:t>
      </w:r>
      <w:r w:rsidR="00157C50" w:rsidRPr="00AF2E4F">
        <w:t xml:space="preserve"> fyri alt </w:t>
      </w:r>
      <w:r w:rsidR="00157C50" w:rsidRPr="00917030">
        <w:t>2023 og 6,</w:t>
      </w:r>
      <w:r w:rsidR="00AF2E4F" w:rsidRPr="00917030">
        <w:t>6</w:t>
      </w:r>
      <w:r w:rsidR="00157C50" w:rsidRPr="00AF2E4F">
        <w:t xml:space="preserve"> mió. kr. fyri 5 mánaðir</w:t>
      </w:r>
      <w:r w:rsidR="005F36CD" w:rsidRPr="00AF2E4F">
        <w:t>, treytað av at inntøkurnar frá gjaldinum falla javnt gjøgnum árið</w:t>
      </w:r>
      <w:r w:rsidR="00157C50" w:rsidRPr="00AF2E4F">
        <w:t>.</w:t>
      </w:r>
      <w:r>
        <w:t xml:space="preserve"> </w:t>
      </w:r>
    </w:p>
    <w:p w14:paraId="27E09B94" w14:textId="7AD1B9E3" w:rsidR="00D35B33" w:rsidRDefault="00D35B33" w:rsidP="00021780">
      <w:pPr>
        <w:spacing w:after="0"/>
        <w:jc w:val="both"/>
      </w:pPr>
    </w:p>
    <w:p w14:paraId="5E34F4BF" w14:textId="77777777" w:rsidR="00021780" w:rsidRPr="007B1ABF" w:rsidRDefault="00021780" w:rsidP="00021780">
      <w:pPr>
        <w:spacing w:after="0"/>
        <w:jc w:val="both"/>
        <w:rPr>
          <w:i/>
          <w:iCs/>
        </w:rPr>
      </w:pPr>
      <w:r w:rsidRPr="00157C50">
        <w:rPr>
          <w:i/>
          <w:iCs/>
        </w:rPr>
        <w:t>Samlaða avleiðingin fyri almennu kassarnar</w:t>
      </w:r>
    </w:p>
    <w:p w14:paraId="309E3EF2" w14:textId="7E10FE2E" w:rsidR="00021780" w:rsidRPr="00BC1E7C" w:rsidRDefault="00021780" w:rsidP="00021780">
      <w:pPr>
        <w:spacing w:after="0"/>
        <w:jc w:val="both"/>
        <w:rPr>
          <w:color w:val="000000" w:themeColor="text1"/>
        </w:rPr>
      </w:pPr>
      <w:r>
        <w:t>Um rokna</w:t>
      </w:r>
      <w:r w:rsidR="00905A0D">
        <w:t>ð verður</w:t>
      </w:r>
      <w:r>
        <w:t xml:space="preserve"> </w:t>
      </w:r>
      <w:r w:rsidRPr="002751AF">
        <w:t xml:space="preserve">við at </w:t>
      </w:r>
      <w:r w:rsidRPr="00917030">
        <w:t xml:space="preserve">fáa </w:t>
      </w:r>
      <w:r w:rsidR="005B0667" w:rsidRPr="00917030">
        <w:t>2</w:t>
      </w:r>
      <w:r w:rsidR="002751AF" w:rsidRPr="00917030">
        <w:t>12</w:t>
      </w:r>
      <w:r w:rsidR="005B0667" w:rsidRPr="00917030">
        <w:t>,</w:t>
      </w:r>
      <w:r w:rsidR="002751AF" w:rsidRPr="00917030">
        <w:t>9</w:t>
      </w:r>
      <w:r w:rsidRPr="00917030">
        <w:t xml:space="preserve"> mió</w:t>
      </w:r>
      <w:r w:rsidRPr="002751AF">
        <w:t>. kr. eyka í tøkugjaldi</w:t>
      </w:r>
      <w:r w:rsidR="00D02486">
        <w:t xml:space="preserve"> í</w:t>
      </w:r>
      <w:r w:rsidRPr="002751AF">
        <w:t xml:space="preserve"> </w:t>
      </w:r>
      <w:r w:rsidR="00905A0D">
        <w:t>í 2023</w:t>
      </w:r>
      <w:r w:rsidRPr="002751AF">
        <w:t>, so miss</w:t>
      </w:r>
      <w:r w:rsidR="00AF2E4F">
        <w:t>a landið og kommunurnar</w:t>
      </w:r>
      <w:r w:rsidRPr="002751AF">
        <w:t xml:space="preserve"> </w:t>
      </w:r>
      <w:r w:rsidR="00AF2E4F" w:rsidRPr="00917030">
        <w:t xml:space="preserve">umleið </w:t>
      </w:r>
      <w:r w:rsidR="002751AF" w:rsidRPr="00917030">
        <w:t>38,3</w:t>
      </w:r>
      <w:r w:rsidRPr="00917030">
        <w:t xml:space="preserve"> </w:t>
      </w:r>
      <w:r w:rsidRPr="002751AF">
        <w:t>mió. kr.</w:t>
      </w:r>
      <w:r>
        <w:t xml:space="preserve"> í partafelagsskatti </w:t>
      </w:r>
      <w:r w:rsidRPr="00917030">
        <w:t xml:space="preserve">og </w:t>
      </w:r>
      <w:r w:rsidR="00157C50" w:rsidRPr="00917030">
        <w:t>15,</w:t>
      </w:r>
      <w:r w:rsidR="00AF2E4F" w:rsidRPr="00917030">
        <w:t>8</w:t>
      </w:r>
      <w:r w:rsidRPr="00917030">
        <w:t xml:space="preserve"> </w:t>
      </w:r>
      <w:r w:rsidRPr="00AF2E4F">
        <w:t>mió. kr. í vinningsbýtisskatti. Økta nettoinntøkan</w:t>
      </w:r>
      <w:r w:rsidR="00157C50" w:rsidRPr="00AF2E4F">
        <w:t xml:space="preserve"> fyri alt 2023 </w:t>
      </w:r>
      <w:r w:rsidRPr="00AF2E4F">
        <w:t xml:space="preserve">til almennu kassarnar </w:t>
      </w:r>
      <w:r w:rsidR="00157C50" w:rsidRPr="00AF2E4F">
        <w:t xml:space="preserve">hevði </w:t>
      </w:r>
      <w:r w:rsidRPr="00AF2E4F">
        <w:t>sostatt</w:t>
      </w:r>
      <w:r w:rsidR="00157C50" w:rsidRPr="00AF2E4F">
        <w:t xml:space="preserve"> </w:t>
      </w:r>
      <w:r w:rsidR="00157C50" w:rsidRPr="00917030">
        <w:t xml:space="preserve">verið </w:t>
      </w:r>
      <w:r w:rsidR="00AF2E4F" w:rsidRPr="00917030">
        <w:t>158,9</w:t>
      </w:r>
      <w:r w:rsidR="00157C50" w:rsidRPr="00AF2E4F">
        <w:t xml:space="preserve"> </w:t>
      </w:r>
      <w:r w:rsidRPr="00AF2E4F">
        <w:t>mió</w:t>
      </w:r>
      <w:r>
        <w:t>. kr.</w:t>
      </w:r>
      <w:r w:rsidR="0068581D">
        <w:t>,</w:t>
      </w:r>
      <w:r w:rsidR="00157C50">
        <w:t xml:space="preserve"> um uppskotið varð sett í gildi pr. 1. januar 2023. </w:t>
      </w:r>
      <w:r w:rsidR="00905A0D">
        <w:t xml:space="preserve">Verður </w:t>
      </w:r>
      <w:r w:rsidR="00EF4F1D">
        <w:t>gildiskoman sett til 1. august 2023</w:t>
      </w:r>
      <w:r w:rsidR="0068581D">
        <w:t>,</w:t>
      </w:r>
      <w:r w:rsidR="00EF4F1D">
        <w:t xml:space="preserve"> verður samlaða nettoinntøkan í 2023 </w:t>
      </w:r>
      <w:r w:rsidR="00AF2E4F" w:rsidRPr="00917030">
        <w:t>66,2</w:t>
      </w:r>
      <w:r w:rsidR="00C01238" w:rsidRPr="00917030">
        <w:t xml:space="preserve"> </w:t>
      </w:r>
      <w:r w:rsidR="00D35B33" w:rsidRPr="00917030">
        <w:rPr>
          <w:color w:val="000000" w:themeColor="text1"/>
        </w:rPr>
        <w:t>m</w:t>
      </w:r>
      <w:r w:rsidR="00C01238" w:rsidRPr="00917030">
        <w:rPr>
          <w:color w:val="000000" w:themeColor="text1"/>
        </w:rPr>
        <w:t>ió.</w:t>
      </w:r>
      <w:r w:rsidR="00C01238" w:rsidRPr="00BC1E7C">
        <w:rPr>
          <w:color w:val="000000" w:themeColor="text1"/>
        </w:rPr>
        <w:t xml:space="preserve"> kr.</w:t>
      </w:r>
      <w:r w:rsidR="005F36CD" w:rsidRPr="00BC1E7C">
        <w:rPr>
          <w:color w:val="000000" w:themeColor="text1"/>
        </w:rPr>
        <w:t xml:space="preserve"> treytað av</w:t>
      </w:r>
      <w:r w:rsidR="00BC1E7C" w:rsidRPr="00BC1E7C">
        <w:rPr>
          <w:color w:val="000000" w:themeColor="text1"/>
        </w:rPr>
        <w:t>,</w:t>
      </w:r>
      <w:r w:rsidR="005F36CD" w:rsidRPr="00BC1E7C">
        <w:rPr>
          <w:color w:val="000000" w:themeColor="text1"/>
        </w:rPr>
        <w:t xml:space="preserve"> at inntøkurnar falla javnt gjøgnum árið.</w:t>
      </w:r>
      <w:r w:rsidR="00C01238" w:rsidRPr="00BC1E7C">
        <w:rPr>
          <w:color w:val="000000" w:themeColor="text1"/>
        </w:rPr>
        <w:t xml:space="preserve"> </w:t>
      </w:r>
    </w:p>
    <w:p w14:paraId="319A1403" w14:textId="7EFE91C0" w:rsidR="000B70F1" w:rsidRPr="00BC1E7C" w:rsidRDefault="000B70F1" w:rsidP="00021780">
      <w:pPr>
        <w:spacing w:after="0"/>
        <w:jc w:val="both"/>
        <w:rPr>
          <w:color w:val="000000" w:themeColor="text1"/>
        </w:rPr>
      </w:pPr>
    </w:p>
    <w:p w14:paraId="72D45259" w14:textId="7CC38E0B" w:rsidR="000B70F1" w:rsidRPr="00BC1E7C" w:rsidRDefault="00D0477D" w:rsidP="000B70F1">
      <w:pPr>
        <w:spacing w:after="0"/>
        <w:jc w:val="both"/>
        <w:rPr>
          <w:color w:val="000000" w:themeColor="text1"/>
        </w:rPr>
      </w:pPr>
      <w:r>
        <w:rPr>
          <w:color w:val="000000" w:themeColor="text1"/>
        </w:rPr>
        <w:t>Eftirsum at nýggi fíggingarleisturin fyri eldraøkið ætlandi skal taka við frá ársbyrjan 2024</w:t>
      </w:r>
      <w:r w:rsidR="0068581D">
        <w:rPr>
          <w:color w:val="000000" w:themeColor="text1"/>
        </w:rPr>
        <w:t>,</w:t>
      </w:r>
      <w:r>
        <w:rPr>
          <w:color w:val="000000" w:themeColor="text1"/>
        </w:rPr>
        <w:t xml:space="preserve"> verður skotið upp, at </w:t>
      </w:r>
      <w:r w:rsidR="000B70F1" w:rsidRPr="00BC1E7C">
        <w:rPr>
          <w:color w:val="000000" w:themeColor="text1"/>
        </w:rPr>
        <w:t>§ 2b, stk. 1-3</w:t>
      </w:r>
      <w:r w:rsidR="0068581D">
        <w:rPr>
          <w:color w:val="000000" w:themeColor="text1"/>
        </w:rPr>
        <w:t>,</w:t>
      </w:r>
      <w:r w:rsidR="000B70F1" w:rsidRPr="00BC1E7C">
        <w:rPr>
          <w:color w:val="000000" w:themeColor="text1"/>
        </w:rPr>
        <w:t xml:space="preserve"> verður sett í gildi 1. januar 2024</w:t>
      </w:r>
      <w:r>
        <w:rPr>
          <w:color w:val="000000" w:themeColor="text1"/>
        </w:rPr>
        <w:t>.</w:t>
      </w:r>
      <w:r w:rsidR="000B70F1" w:rsidRPr="00BC1E7C">
        <w:rPr>
          <w:color w:val="000000" w:themeColor="text1"/>
        </w:rPr>
        <w:t xml:space="preserve"> </w:t>
      </w:r>
    </w:p>
    <w:p w14:paraId="7B1C34E5" w14:textId="77777777" w:rsidR="00D675E9" w:rsidRPr="000A129D" w:rsidRDefault="00D675E9" w:rsidP="000A129D">
      <w:pPr>
        <w:spacing w:after="0"/>
        <w:jc w:val="both"/>
      </w:pPr>
    </w:p>
    <w:p w14:paraId="34CB711F" w14:textId="77777777" w:rsidR="00E60021" w:rsidRPr="000A129D" w:rsidRDefault="00E60021" w:rsidP="000A129D">
      <w:pPr>
        <w:spacing w:after="0"/>
        <w:rPr>
          <w:b/>
        </w:rPr>
      </w:pPr>
      <w:r w:rsidRPr="000A129D">
        <w:rPr>
          <w:b/>
        </w:rPr>
        <w:t>2.2. Umsitingarligar avleiðingar fyri land og kommunur</w:t>
      </w:r>
    </w:p>
    <w:p w14:paraId="391EDB8A" w14:textId="35855840" w:rsidR="00E60021" w:rsidRPr="000A129D" w:rsidRDefault="00E80506" w:rsidP="000A129D">
      <w:pPr>
        <w:spacing w:after="0"/>
        <w:jc w:val="both"/>
      </w:pPr>
      <w:r w:rsidRPr="00E80506">
        <w:t>Lógaruppskotið hevur ikki umsitingarligar avleiðingar fyri land og kommunur.</w:t>
      </w:r>
    </w:p>
    <w:p w14:paraId="6FD90450" w14:textId="77777777" w:rsidR="00E60021" w:rsidRPr="000A129D" w:rsidRDefault="00E60021" w:rsidP="000A129D">
      <w:pPr>
        <w:spacing w:after="0"/>
        <w:jc w:val="both"/>
      </w:pPr>
    </w:p>
    <w:p w14:paraId="2B876CAE" w14:textId="77777777" w:rsidR="00E60021" w:rsidRPr="000A129D" w:rsidRDefault="00E60021" w:rsidP="000A129D">
      <w:pPr>
        <w:spacing w:after="0"/>
        <w:rPr>
          <w:b/>
        </w:rPr>
      </w:pPr>
      <w:r w:rsidRPr="000A129D">
        <w:rPr>
          <w:b/>
        </w:rPr>
        <w:t>2.3. Avleiðingar fyri vinnuna</w:t>
      </w:r>
    </w:p>
    <w:p w14:paraId="2F20AF20" w14:textId="6CF41DCC" w:rsidR="00E60021" w:rsidRDefault="00E80506" w:rsidP="000A129D">
      <w:pPr>
        <w:spacing w:after="0"/>
        <w:jc w:val="both"/>
      </w:pPr>
      <w:r w:rsidRPr="00E80506">
        <w:t xml:space="preserve">Føroysku alifyritøkurnar verða ávirkaðar av uppskotinum. Fyri alivinnuna hevur uppskotið við sær, at tøkugjaldið í 2023 væntandi </w:t>
      </w:r>
      <w:r w:rsidRPr="002D0876">
        <w:t>øk</w:t>
      </w:r>
      <w:r w:rsidR="0068581D">
        <w:t>ir</w:t>
      </w:r>
      <w:r w:rsidR="00B44CDA" w:rsidRPr="002D0876">
        <w:t xml:space="preserve"> um </w:t>
      </w:r>
      <w:r w:rsidR="00B42E1F">
        <w:t>útreiðslurnar</w:t>
      </w:r>
      <w:r w:rsidR="00B42E1F" w:rsidRPr="002D0876">
        <w:t xml:space="preserve"> </w:t>
      </w:r>
      <w:r w:rsidR="00B44CDA" w:rsidRPr="002D0876">
        <w:t>hjá føroysku alifyritøkunum</w:t>
      </w:r>
      <w:r w:rsidRPr="002D0876">
        <w:t xml:space="preserve"> </w:t>
      </w:r>
      <w:r w:rsidRPr="00917030">
        <w:t>við umleið</w:t>
      </w:r>
      <w:r w:rsidR="00B44CDA" w:rsidRPr="00917030">
        <w:t xml:space="preserve"> </w:t>
      </w:r>
      <w:r w:rsidR="00CD47C7" w:rsidRPr="00917030">
        <w:t>88,7</w:t>
      </w:r>
      <w:r w:rsidR="00B44CDA" w:rsidRPr="00917030">
        <w:t xml:space="preserve"> kr</w:t>
      </w:r>
      <w:r w:rsidR="00B44CDA" w:rsidRPr="002D0876">
        <w:t>. treyta</w:t>
      </w:r>
      <w:r w:rsidR="00E865D9">
        <w:t>ð</w:t>
      </w:r>
      <w:r w:rsidR="00B44CDA" w:rsidRPr="002D0876">
        <w:t xml:space="preserve"> av</w:t>
      </w:r>
      <w:r w:rsidR="00E865D9">
        <w:t>,</w:t>
      </w:r>
      <w:r w:rsidR="00B44CDA" w:rsidRPr="002D0876">
        <w:t xml:space="preserve"> at </w:t>
      </w:r>
      <w:r w:rsidR="007545E4" w:rsidRPr="002D0876">
        <w:t xml:space="preserve">gildiskoman verður 1. </w:t>
      </w:r>
      <w:r w:rsidR="004B4214">
        <w:t>a</w:t>
      </w:r>
      <w:r w:rsidR="007545E4" w:rsidRPr="002D0876">
        <w:t>ugust</w:t>
      </w:r>
      <w:r w:rsidR="004B4214">
        <w:t>, og treytað av, at gjaldið verður javnt gjøgnum árið</w:t>
      </w:r>
      <w:r w:rsidR="007545E4" w:rsidRPr="002D0876">
        <w:t>.</w:t>
      </w:r>
      <w:r w:rsidRPr="002D0876">
        <w:t xml:space="preserve"> Økti rakstrarkostnaðurin merkir, at alifyritøkurnar, alt annað</w:t>
      </w:r>
      <w:r w:rsidRPr="00E80506">
        <w:t xml:space="preserve"> líka, rinda lutfalsliga minni í partafelagsskatti og rinda lutfalsliga minni út í vinningsbýti.   </w:t>
      </w:r>
    </w:p>
    <w:p w14:paraId="13EB3851" w14:textId="77777777" w:rsidR="00E60021" w:rsidRPr="000A129D" w:rsidRDefault="00E60021" w:rsidP="000A129D">
      <w:pPr>
        <w:spacing w:after="0"/>
        <w:jc w:val="both"/>
      </w:pPr>
    </w:p>
    <w:p w14:paraId="41DC3F29" w14:textId="77777777" w:rsidR="00E60021" w:rsidRPr="000A129D" w:rsidRDefault="00E60021" w:rsidP="000A129D">
      <w:pPr>
        <w:spacing w:after="0"/>
        <w:rPr>
          <w:b/>
        </w:rPr>
      </w:pPr>
      <w:r w:rsidRPr="000A129D">
        <w:rPr>
          <w:b/>
        </w:rPr>
        <w:t>2.4. Avleiðingar fyri umhvørvið</w:t>
      </w:r>
    </w:p>
    <w:p w14:paraId="4642E3D1" w14:textId="0541C2CB" w:rsidR="00E60021" w:rsidRDefault="00E80506" w:rsidP="000A129D">
      <w:pPr>
        <w:spacing w:after="0"/>
        <w:jc w:val="both"/>
      </w:pPr>
      <w:r w:rsidRPr="00E80506">
        <w:t>Uppskotið hevur ikki avleiðingar fyri umhvørvið.</w:t>
      </w:r>
    </w:p>
    <w:p w14:paraId="46DAA1EA" w14:textId="77777777" w:rsidR="00E80506" w:rsidRPr="000A129D" w:rsidRDefault="00E80506" w:rsidP="000A129D">
      <w:pPr>
        <w:spacing w:after="0"/>
        <w:jc w:val="both"/>
      </w:pPr>
    </w:p>
    <w:p w14:paraId="74848A69" w14:textId="77777777" w:rsidR="00E60021" w:rsidRPr="000A129D" w:rsidRDefault="00E60021" w:rsidP="000A129D">
      <w:pPr>
        <w:spacing w:after="0"/>
        <w:rPr>
          <w:b/>
        </w:rPr>
      </w:pPr>
      <w:r w:rsidRPr="000A129D">
        <w:rPr>
          <w:b/>
        </w:rPr>
        <w:t>2.5. Avleiðingar fyri serstøk øki í landinum</w:t>
      </w:r>
    </w:p>
    <w:p w14:paraId="38689428" w14:textId="4C826260" w:rsidR="00E60021" w:rsidRDefault="00E80506" w:rsidP="000A129D">
      <w:pPr>
        <w:spacing w:after="0"/>
        <w:jc w:val="both"/>
      </w:pPr>
      <w:r w:rsidRPr="00E80506">
        <w:t>Uppskotið hevur ikki avleiðingar fyri serstøk øki í landinum.</w:t>
      </w:r>
    </w:p>
    <w:p w14:paraId="4104EAF2" w14:textId="77777777" w:rsidR="00E80506" w:rsidRPr="000A129D" w:rsidRDefault="00E80506" w:rsidP="000A129D">
      <w:pPr>
        <w:spacing w:after="0"/>
        <w:jc w:val="both"/>
      </w:pPr>
    </w:p>
    <w:p w14:paraId="2669D0F2" w14:textId="77777777" w:rsidR="00E60021" w:rsidRPr="000A129D" w:rsidRDefault="00E60021" w:rsidP="000A129D">
      <w:pPr>
        <w:spacing w:after="0"/>
        <w:rPr>
          <w:b/>
        </w:rPr>
      </w:pPr>
      <w:r w:rsidRPr="000A129D">
        <w:rPr>
          <w:b/>
        </w:rPr>
        <w:t>2.6. Avleiðingar fyri ávísar samfelagsbólkar ella felagsskapir</w:t>
      </w:r>
    </w:p>
    <w:p w14:paraId="08F2EC0A" w14:textId="639CDCAD" w:rsidR="00E80506" w:rsidRPr="000A129D" w:rsidRDefault="00E80506" w:rsidP="000A129D">
      <w:pPr>
        <w:spacing w:after="0"/>
        <w:jc w:val="both"/>
      </w:pPr>
      <w:r w:rsidRPr="00E80506">
        <w:t>Uppskotið hevur ikki avleiðingar fyri ávísar samfelagsbólkar ella felagsskapir.</w:t>
      </w:r>
    </w:p>
    <w:p w14:paraId="73E25D44" w14:textId="3049FA28" w:rsidR="00CA0204" w:rsidRDefault="00CA0204">
      <w:pPr>
        <w:spacing w:after="0"/>
        <w:rPr>
          <w:b/>
        </w:rPr>
      </w:pPr>
    </w:p>
    <w:p w14:paraId="7697BC94" w14:textId="77777777" w:rsidR="00B42E1F" w:rsidRDefault="00B42E1F">
      <w:pPr>
        <w:spacing w:after="0"/>
        <w:rPr>
          <w:b/>
        </w:rPr>
      </w:pPr>
      <w:r>
        <w:rPr>
          <w:b/>
        </w:rPr>
        <w:br w:type="page"/>
      </w:r>
    </w:p>
    <w:p w14:paraId="58006411" w14:textId="117CAA23" w:rsidR="00E60021" w:rsidRPr="000A129D" w:rsidRDefault="00E60021" w:rsidP="000A129D">
      <w:pPr>
        <w:spacing w:after="0"/>
        <w:rPr>
          <w:b/>
        </w:rPr>
      </w:pPr>
      <w:r w:rsidRPr="000A129D">
        <w:rPr>
          <w:b/>
        </w:rPr>
        <w:lastRenderedPageBreak/>
        <w:t>2.7. Millumtjóðasáttmálar á økinum</w:t>
      </w:r>
    </w:p>
    <w:p w14:paraId="72011AD7" w14:textId="0A8584C1" w:rsidR="00E60021" w:rsidRPr="000A129D" w:rsidRDefault="00E80506" w:rsidP="000A129D">
      <w:pPr>
        <w:spacing w:after="0"/>
        <w:jc w:val="both"/>
      </w:pPr>
      <w:r w:rsidRPr="00E80506">
        <w:t>Uppskotið sampakkar við millumtjóðasáttmálar á økinum.</w:t>
      </w:r>
    </w:p>
    <w:p w14:paraId="658A1C9F" w14:textId="6A55FBFE" w:rsidR="00E60021" w:rsidRDefault="00E60021" w:rsidP="000A129D">
      <w:pPr>
        <w:spacing w:after="0"/>
        <w:jc w:val="both"/>
      </w:pPr>
    </w:p>
    <w:p w14:paraId="7E78FA31" w14:textId="5742C557" w:rsidR="00E60021" w:rsidRPr="000A129D" w:rsidRDefault="00E60021" w:rsidP="000A129D">
      <w:pPr>
        <w:spacing w:after="0"/>
        <w:rPr>
          <w:b/>
        </w:rPr>
      </w:pPr>
      <w:r w:rsidRPr="000A129D">
        <w:rPr>
          <w:b/>
        </w:rPr>
        <w:t>2.8. Tvørgangandi millumtjóðasáttmálar</w:t>
      </w:r>
    </w:p>
    <w:p w14:paraId="225F61D5" w14:textId="4E081B0D" w:rsidR="00E60021" w:rsidRDefault="00E80506" w:rsidP="000A129D">
      <w:pPr>
        <w:spacing w:after="0"/>
        <w:jc w:val="both"/>
      </w:pPr>
      <w:r w:rsidRPr="00E80506">
        <w:t>Uppskotið samsvarar við tvørgangandi millumtjóðasáttmálar, sum eru viðkomandi fyri uppskotið.</w:t>
      </w:r>
    </w:p>
    <w:p w14:paraId="4038F960" w14:textId="77777777" w:rsidR="00E60021" w:rsidRPr="000A129D" w:rsidRDefault="00E60021" w:rsidP="000A129D">
      <w:pPr>
        <w:spacing w:after="0"/>
        <w:jc w:val="both"/>
      </w:pPr>
    </w:p>
    <w:p w14:paraId="1AC95200" w14:textId="77777777" w:rsidR="00E60021" w:rsidRPr="000A129D" w:rsidRDefault="00E60021" w:rsidP="000A129D">
      <w:pPr>
        <w:spacing w:after="0"/>
        <w:rPr>
          <w:b/>
        </w:rPr>
      </w:pPr>
      <w:r w:rsidRPr="000A129D">
        <w:rPr>
          <w:b/>
        </w:rPr>
        <w:t>2.9. Markaforðingar</w:t>
      </w:r>
    </w:p>
    <w:p w14:paraId="300FF30B" w14:textId="45148C4B" w:rsidR="00E60021" w:rsidRDefault="00E80506" w:rsidP="000A129D">
      <w:pPr>
        <w:spacing w:after="0"/>
        <w:jc w:val="both"/>
      </w:pPr>
      <w:r w:rsidRPr="00E80506">
        <w:t>Uppskotið elvir ikki til markaforðinar.</w:t>
      </w:r>
    </w:p>
    <w:p w14:paraId="6EEBBA05" w14:textId="77777777" w:rsidR="00E60021" w:rsidRPr="000A129D" w:rsidRDefault="00E60021" w:rsidP="000A129D">
      <w:pPr>
        <w:spacing w:after="0"/>
        <w:jc w:val="both"/>
      </w:pPr>
    </w:p>
    <w:p w14:paraId="644C4787" w14:textId="77777777" w:rsidR="00E60021" w:rsidRPr="000A129D" w:rsidRDefault="00E60021" w:rsidP="000A129D">
      <w:pPr>
        <w:spacing w:after="0"/>
        <w:rPr>
          <w:b/>
        </w:rPr>
      </w:pPr>
      <w:r w:rsidRPr="000A129D">
        <w:rPr>
          <w:b/>
        </w:rPr>
        <w:t>2.10. Revsing, fyrisitingarligar sektir, pantiheimildir ella onnur størri inntriv</w:t>
      </w:r>
    </w:p>
    <w:p w14:paraId="3759D01A" w14:textId="40870C03" w:rsidR="00E60021" w:rsidRDefault="00E80506" w:rsidP="000A129D">
      <w:pPr>
        <w:spacing w:after="0"/>
        <w:jc w:val="both"/>
      </w:pPr>
      <w:r w:rsidRPr="00E80506">
        <w:t>Lógaruppskotið hevur ikki ásetingar um revsing, panting og sektir og ger ikki onnur størri inntriv í rættindini hjá fólki.</w:t>
      </w:r>
    </w:p>
    <w:p w14:paraId="0B914805" w14:textId="77777777" w:rsidR="00E60021" w:rsidRPr="000A129D" w:rsidRDefault="00E60021" w:rsidP="000A129D">
      <w:pPr>
        <w:spacing w:after="0"/>
        <w:jc w:val="both"/>
      </w:pPr>
    </w:p>
    <w:p w14:paraId="5F84A1BC" w14:textId="77777777" w:rsidR="00E60021" w:rsidRPr="00132332" w:rsidRDefault="00E60021" w:rsidP="000A129D">
      <w:pPr>
        <w:spacing w:after="0"/>
        <w:rPr>
          <w:b/>
        </w:rPr>
      </w:pPr>
      <w:r w:rsidRPr="00132332">
        <w:rPr>
          <w:b/>
        </w:rPr>
        <w:t>2.11. Skattir og avgjøld</w:t>
      </w:r>
    </w:p>
    <w:p w14:paraId="73BECC84" w14:textId="7132D8AF" w:rsidR="00E60021" w:rsidRPr="000A129D" w:rsidRDefault="000D7B51" w:rsidP="000D7B51">
      <w:pPr>
        <w:spacing w:after="0"/>
        <w:jc w:val="both"/>
      </w:pPr>
      <w:r w:rsidRPr="000D7B51">
        <w:t>Tað eru ikki ásetingar um skattir og avgjøld í uppskotinum, sbr. pkt. 2.12 niðanfyri.</w:t>
      </w:r>
      <w:r w:rsidR="00E60021" w:rsidRPr="00132332">
        <w:t xml:space="preserve"> </w:t>
      </w:r>
    </w:p>
    <w:p w14:paraId="421346F0" w14:textId="77777777" w:rsidR="00E60021" w:rsidRPr="000A129D" w:rsidRDefault="00E60021" w:rsidP="000A129D">
      <w:pPr>
        <w:spacing w:after="0"/>
        <w:jc w:val="both"/>
        <w:rPr>
          <w:b/>
        </w:rPr>
      </w:pPr>
    </w:p>
    <w:p w14:paraId="78953D86" w14:textId="77777777" w:rsidR="00E60021" w:rsidRPr="000A129D" w:rsidRDefault="00E60021" w:rsidP="000A129D">
      <w:pPr>
        <w:spacing w:after="0"/>
        <w:rPr>
          <w:b/>
        </w:rPr>
      </w:pPr>
      <w:r w:rsidRPr="000A129D">
        <w:rPr>
          <w:b/>
        </w:rPr>
        <w:t>2.12. Gjøld</w:t>
      </w:r>
    </w:p>
    <w:p w14:paraId="3D5E7FBD" w14:textId="76B1EED7" w:rsidR="00E60021" w:rsidRDefault="00E80506" w:rsidP="000A129D">
      <w:pPr>
        <w:spacing w:after="0"/>
        <w:jc w:val="both"/>
      </w:pPr>
      <w:r w:rsidRPr="00E80506">
        <w:t xml:space="preserve">Loyvisgjaldið á alivinnuna er ikki at meta sum ein skattur, men heldur sum eitt nýtslugjald, sum landsmyndugleikarnir áleggja fyri </w:t>
      </w:r>
      <w:r>
        <w:t>framíhjá</w:t>
      </w:r>
      <w:r w:rsidRPr="00E80506">
        <w:t>rættin at gagnnýta føroysku al</w:t>
      </w:r>
      <w:r>
        <w:t>ifirðirnar</w:t>
      </w:r>
      <w:r w:rsidRPr="00E80506">
        <w:t>.</w:t>
      </w:r>
    </w:p>
    <w:p w14:paraId="6D573951" w14:textId="77777777" w:rsidR="00E60021" w:rsidRPr="000A129D" w:rsidRDefault="00E60021" w:rsidP="000A129D">
      <w:pPr>
        <w:spacing w:after="0"/>
        <w:jc w:val="both"/>
        <w:rPr>
          <w:b/>
        </w:rPr>
      </w:pPr>
    </w:p>
    <w:p w14:paraId="463ED974" w14:textId="77777777" w:rsidR="00E60021" w:rsidRPr="000A129D" w:rsidRDefault="00E60021" w:rsidP="000A129D">
      <w:pPr>
        <w:spacing w:after="0"/>
        <w:rPr>
          <w:b/>
        </w:rPr>
      </w:pPr>
      <w:r w:rsidRPr="000A129D">
        <w:rPr>
          <w:b/>
        </w:rPr>
        <w:t>2.13. Áleggur lógaruppskotið likamligum ella løgfrøðiligum persónum skyldur?</w:t>
      </w:r>
    </w:p>
    <w:p w14:paraId="682C84E7" w14:textId="4F2610A4" w:rsidR="00E60021" w:rsidRPr="000A129D" w:rsidRDefault="0008697C" w:rsidP="000A129D">
      <w:pPr>
        <w:spacing w:after="0"/>
        <w:jc w:val="both"/>
        <w:rPr>
          <w:b/>
        </w:rPr>
      </w:pPr>
      <w:r w:rsidRPr="0008697C">
        <w:t>Lógaruppskotið áleggur ikki likamligum ella løgfrøðiligum persónum skyldur.</w:t>
      </w:r>
    </w:p>
    <w:p w14:paraId="0EF39259" w14:textId="77777777" w:rsidR="00E60021" w:rsidRPr="000A129D" w:rsidRDefault="00E60021" w:rsidP="000A129D">
      <w:pPr>
        <w:spacing w:after="0"/>
        <w:jc w:val="both"/>
        <w:rPr>
          <w:b/>
        </w:rPr>
      </w:pPr>
    </w:p>
    <w:p w14:paraId="3142208C" w14:textId="77777777" w:rsidR="00E60021" w:rsidRPr="000A129D" w:rsidRDefault="00E60021" w:rsidP="000A129D">
      <w:pPr>
        <w:spacing w:after="0"/>
        <w:rPr>
          <w:b/>
        </w:rPr>
      </w:pPr>
      <w:r w:rsidRPr="000A129D">
        <w:rPr>
          <w:b/>
        </w:rPr>
        <w:t>2.14. Leggur lógaruppskotið heimildir til landsstýrismannin, ein stovn undir landsstýrinum ella til kommunur?</w:t>
      </w:r>
    </w:p>
    <w:p w14:paraId="774892B6" w14:textId="0AE4829E" w:rsidR="00E60021" w:rsidRPr="000A129D" w:rsidRDefault="0008697C" w:rsidP="000A129D">
      <w:pPr>
        <w:spacing w:after="0"/>
        <w:jc w:val="both"/>
        <w:rPr>
          <w:b/>
        </w:rPr>
      </w:pPr>
      <w:r w:rsidRPr="0008697C">
        <w:t>Lógaruppskotið leggur ikki heimildir til landsstýrismannin, ein stovn undir landinum ella til kommunur.</w:t>
      </w:r>
    </w:p>
    <w:p w14:paraId="3631532B" w14:textId="77777777" w:rsidR="00E60021" w:rsidRPr="000A129D" w:rsidRDefault="00E60021" w:rsidP="000A129D">
      <w:pPr>
        <w:spacing w:after="0"/>
        <w:jc w:val="both"/>
        <w:rPr>
          <w:b/>
        </w:rPr>
      </w:pPr>
    </w:p>
    <w:p w14:paraId="1D5066A0" w14:textId="77777777" w:rsidR="00E60021" w:rsidRPr="000A129D" w:rsidRDefault="00E60021" w:rsidP="000A129D">
      <w:pPr>
        <w:spacing w:after="0"/>
        <w:jc w:val="both"/>
        <w:rPr>
          <w:b/>
        </w:rPr>
      </w:pPr>
      <w:r w:rsidRPr="000A129D">
        <w:rPr>
          <w:b/>
        </w:rPr>
        <w:t>2.15. Gevur lógaruppskotið almennum myndugleikum atgongd til privata ogn?</w:t>
      </w:r>
    </w:p>
    <w:p w14:paraId="185427DF" w14:textId="198139CA" w:rsidR="00E60021" w:rsidRPr="000A129D" w:rsidRDefault="0008697C" w:rsidP="000A129D">
      <w:pPr>
        <w:spacing w:after="0"/>
        <w:jc w:val="both"/>
        <w:rPr>
          <w:b/>
        </w:rPr>
      </w:pPr>
      <w:r w:rsidRPr="0008697C">
        <w:t>Lógaruppskotið gevur ikki almennum myndugleikum atgongd til privata ogn.</w:t>
      </w:r>
    </w:p>
    <w:p w14:paraId="6F8A4EBB" w14:textId="77777777" w:rsidR="00E60021" w:rsidRPr="000A129D" w:rsidRDefault="00E60021" w:rsidP="000A129D">
      <w:pPr>
        <w:spacing w:after="0"/>
        <w:jc w:val="both"/>
        <w:rPr>
          <w:b/>
        </w:rPr>
      </w:pPr>
    </w:p>
    <w:p w14:paraId="27FB4908" w14:textId="77777777" w:rsidR="00E60021" w:rsidRPr="000A129D" w:rsidRDefault="00E60021" w:rsidP="000A129D">
      <w:pPr>
        <w:spacing w:after="0"/>
        <w:jc w:val="both"/>
        <w:rPr>
          <w:b/>
        </w:rPr>
      </w:pPr>
      <w:r w:rsidRPr="000A129D">
        <w:rPr>
          <w:b/>
        </w:rPr>
        <w:t>2.16. Hevur lógaruppskotið aðrar avleiðingar?</w:t>
      </w:r>
    </w:p>
    <w:p w14:paraId="2821F8A0" w14:textId="7914BEE6" w:rsidR="00E60021" w:rsidRPr="000A129D" w:rsidRDefault="0008697C" w:rsidP="000A129D">
      <w:pPr>
        <w:spacing w:after="0"/>
        <w:jc w:val="both"/>
      </w:pPr>
      <w:r w:rsidRPr="0008697C">
        <w:t>Lógaruppskotið hevur ikki aðrar avleiðingar.</w:t>
      </w:r>
    </w:p>
    <w:p w14:paraId="3A4BDDE1" w14:textId="77777777" w:rsidR="00E60021" w:rsidRPr="000A129D" w:rsidRDefault="00E60021" w:rsidP="000A129D">
      <w:pPr>
        <w:spacing w:after="0"/>
        <w:jc w:val="both"/>
      </w:pPr>
    </w:p>
    <w:p w14:paraId="287F25CC" w14:textId="77777777" w:rsidR="0008697C" w:rsidRDefault="0008697C">
      <w:pPr>
        <w:spacing w:after="0"/>
        <w:rPr>
          <w:b/>
        </w:rPr>
      </w:pPr>
      <w:r>
        <w:rPr>
          <w:b/>
        </w:rPr>
        <w:br w:type="page"/>
      </w:r>
    </w:p>
    <w:p w14:paraId="0B8BCCB8" w14:textId="2BEC6F86" w:rsidR="00E60021" w:rsidRPr="000A129D" w:rsidRDefault="00E60021" w:rsidP="000A129D">
      <w:pPr>
        <w:spacing w:after="0"/>
        <w:jc w:val="both"/>
        <w:rPr>
          <w:b/>
        </w:rPr>
      </w:pPr>
      <w:r w:rsidRPr="000A129D">
        <w:rPr>
          <w:b/>
        </w:rPr>
        <w:lastRenderedPageBreak/>
        <w:t>2.17. Talvan: Yvirlit yvir avleiðingarnar av lógaruppskotinum</w:t>
      </w:r>
    </w:p>
    <w:p w14:paraId="37D520FA" w14:textId="77777777" w:rsidR="00E60021" w:rsidRPr="000A129D" w:rsidRDefault="00E60021" w:rsidP="000A129D">
      <w:pPr>
        <w:spacing w:after="0"/>
        <w:rPr>
          <w:bCs/>
          <w:color w:val="000000"/>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E60021" w:rsidRPr="000A129D" w14:paraId="721B891D"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065EE247" w14:textId="77777777" w:rsidR="00E60021" w:rsidRPr="000A129D" w:rsidRDefault="00E60021" w:rsidP="000A129D">
            <w:pPr>
              <w:spacing w:after="0"/>
              <w:rPr>
                <w:rFonts w:ascii="Times New Roman" w:hAnsi="Times New Roman"/>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011B6DE7"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landið ella landsmyndug-leikar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1453DB9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701ACFF8"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4FA94C53"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ávísar samfelags-bólkar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2CE1EBB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vinnuna</w:t>
            </w:r>
          </w:p>
        </w:tc>
      </w:tr>
      <w:tr w:rsidR="00E60021" w:rsidRPr="000A129D" w14:paraId="7D7334B4"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816F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Fíggjarligar ella búskaparligar avleiðingar</w:t>
            </w:r>
          </w:p>
        </w:tc>
        <w:sdt>
          <w:sdtPr>
            <w:rPr>
              <w:bCs/>
              <w:sz w:val="20"/>
              <w:szCs w:val="20"/>
            </w:rPr>
            <w:id w:val="1109551800"/>
            <w:placeholder>
              <w:docPart w:val="D58AA6B117DE406C9DB93DEB2C9E35E8"/>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6F90C" w14:textId="7A59C80C" w:rsidR="00E60021" w:rsidRPr="000A129D" w:rsidRDefault="00200532" w:rsidP="000A129D">
                <w:pPr>
                  <w:spacing w:after="0"/>
                  <w:jc w:val="center"/>
                  <w:rPr>
                    <w:rFonts w:ascii="Times New Roman" w:hAnsi="Times New Roman"/>
                    <w:bCs/>
                    <w:sz w:val="20"/>
                    <w:szCs w:val="20"/>
                  </w:rPr>
                </w:pPr>
                <w:r>
                  <w:rPr>
                    <w:bCs/>
                    <w:sz w:val="20"/>
                    <w:szCs w:val="20"/>
                  </w:rPr>
                  <w:t>Ja</w:t>
                </w:r>
              </w:p>
            </w:tc>
          </w:sdtContent>
        </w:sdt>
        <w:sdt>
          <w:sdtPr>
            <w:rPr>
              <w:bCs/>
              <w:sz w:val="20"/>
              <w:szCs w:val="20"/>
            </w:rPr>
            <w:id w:val="-220371911"/>
            <w:placeholder>
              <w:docPart w:val="C0102732E438477B8B2537D67378081F"/>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D14FB" w14:textId="7855B2EB" w:rsidR="00E60021" w:rsidRPr="000A129D" w:rsidRDefault="00200532" w:rsidP="000A129D">
                <w:pPr>
                  <w:spacing w:after="0"/>
                  <w:jc w:val="center"/>
                  <w:rPr>
                    <w:rFonts w:ascii="Times New Roman" w:hAnsi="Times New Roman"/>
                    <w:bCs/>
                    <w:sz w:val="20"/>
                    <w:szCs w:val="20"/>
                  </w:rPr>
                </w:pPr>
                <w:r>
                  <w:rPr>
                    <w:bCs/>
                    <w:sz w:val="20"/>
                    <w:szCs w:val="20"/>
                  </w:rPr>
                  <w:t>Ja</w:t>
                </w:r>
              </w:p>
            </w:tc>
          </w:sdtContent>
        </w:sdt>
        <w:sdt>
          <w:sdtPr>
            <w:rPr>
              <w:bCs/>
              <w:sz w:val="20"/>
              <w:szCs w:val="20"/>
            </w:rPr>
            <w:id w:val="1001774417"/>
            <w:placeholder>
              <w:docPart w:val="6FAD92F09DE54892ACD4F5C87A2F2A87"/>
            </w:placeholder>
            <w:comboBox>
              <w:listItem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AAFF0" w14:textId="1A87FCDF" w:rsidR="00E60021" w:rsidRPr="000A129D" w:rsidRDefault="00B150A1" w:rsidP="000A129D">
                <w:pPr>
                  <w:spacing w:after="0"/>
                  <w:jc w:val="center"/>
                  <w:rPr>
                    <w:rFonts w:ascii="Times New Roman" w:hAnsi="Times New Roman"/>
                    <w:bCs/>
                    <w:sz w:val="20"/>
                    <w:szCs w:val="20"/>
                  </w:rPr>
                </w:pPr>
                <w:r>
                  <w:rPr>
                    <w:bCs/>
                    <w:sz w:val="20"/>
                    <w:szCs w:val="20"/>
                  </w:rPr>
                  <w:t>ja</w:t>
                </w:r>
              </w:p>
            </w:tc>
          </w:sdtContent>
        </w:sdt>
        <w:sdt>
          <w:sdtPr>
            <w:rPr>
              <w:bCs/>
              <w:sz w:val="20"/>
              <w:szCs w:val="20"/>
            </w:rPr>
            <w:id w:val="-722052874"/>
            <w:placeholder>
              <w:docPart w:val="4941FBC0F63243C1B107B2934C80605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C39FF" w14:textId="14FEC6E7" w:rsidR="00E60021" w:rsidRPr="000A129D" w:rsidRDefault="00200532" w:rsidP="000A129D">
                <w:pPr>
                  <w:spacing w:after="0"/>
                  <w:jc w:val="center"/>
                  <w:rPr>
                    <w:rFonts w:ascii="Times New Roman" w:hAnsi="Times New Roman"/>
                    <w:bCs/>
                    <w:sz w:val="20"/>
                    <w:szCs w:val="20"/>
                  </w:rPr>
                </w:pPr>
                <w:r>
                  <w:rPr>
                    <w:bCs/>
                    <w:sz w:val="20"/>
                    <w:szCs w:val="20"/>
                  </w:rPr>
                  <w:t>Nei</w:t>
                </w:r>
              </w:p>
            </w:tc>
          </w:sdtContent>
        </w:sdt>
        <w:sdt>
          <w:sdtPr>
            <w:rPr>
              <w:bCs/>
              <w:sz w:val="20"/>
              <w:szCs w:val="20"/>
            </w:rPr>
            <w:id w:val="1212457157"/>
            <w:placeholder>
              <w:docPart w:val="12928606283A4053A2CBEB6A3A108612"/>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99AC4" w14:textId="59604EEF" w:rsidR="00E60021" w:rsidRPr="000A129D" w:rsidRDefault="00200532" w:rsidP="000A129D">
                <w:pPr>
                  <w:spacing w:after="0"/>
                  <w:jc w:val="center"/>
                  <w:rPr>
                    <w:rFonts w:ascii="Times New Roman" w:hAnsi="Times New Roman"/>
                    <w:bCs/>
                    <w:sz w:val="20"/>
                    <w:szCs w:val="20"/>
                  </w:rPr>
                </w:pPr>
                <w:r>
                  <w:rPr>
                    <w:bCs/>
                    <w:sz w:val="20"/>
                    <w:szCs w:val="20"/>
                  </w:rPr>
                  <w:t>Ja</w:t>
                </w:r>
              </w:p>
            </w:tc>
          </w:sdtContent>
        </w:sdt>
      </w:tr>
      <w:tr w:rsidR="00E60021" w:rsidRPr="000A129D" w14:paraId="1277804C"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9E5F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Umsitingarligar avleiðingar</w:t>
            </w:r>
          </w:p>
        </w:tc>
        <w:sdt>
          <w:sdtPr>
            <w:rPr>
              <w:sz w:val="20"/>
            </w:rPr>
            <w:id w:val="463475165"/>
            <w:placeholder>
              <w:docPart w:val="109BE2C0C0424DB79002A175E6287E5D"/>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8D37B" w14:textId="79BB02E8" w:rsidR="00E60021" w:rsidRPr="000A129D" w:rsidRDefault="00200532" w:rsidP="000A129D">
                <w:pPr>
                  <w:spacing w:after="0"/>
                  <w:jc w:val="center"/>
                  <w:rPr>
                    <w:rFonts w:ascii="Times New Roman" w:hAnsi="Times New Roman"/>
                    <w:sz w:val="20"/>
                  </w:rPr>
                </w:pPr>
                <w:r>
                  <w:rPr>
                    <w:sz w:val="20"/>
                  </w:rPr>
                  <w:t>Nei</w:t>
                </w:r>
              </w:p>
            </w:tc>
          </w:sdtContent>
        </w:sdt>
        <w:sdt>
          <w:sdtPr>
            <w:rPr>
              <w:sz w:val="20"/>
            </w:rPr>
            <w:id w:val="193965219"/>
            <w:placeholder>
              <w:docPart w:val="307A892DACFA481CB60E4E4458791792"/>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5F4D7" w14:textId="6493E5BA" w:rsidR="00E60021" w:rsidRPr="000A129D" w:rsidRDefault="00200532" w:rsidP="000A129D">
                <w:pPr>
                  <w:spacing w:after="0"/>
                  <w:jc w:val="center"/>
                  <w:rPr>
                    <w:rFonts w:ascii="Times New Roman" w:hAnsi="Times New Roman"/>
                    <w:sz w:val="20"/>
                  </w:rPr>
                </w:pPr>
                <w:r>
                  <w:rPr>
                    <w:sz w:val="20"/>
                  </w:rPr>
                  <w:t>Nei</w:t>
                </w:r>
              </w:p>
            </w:tc>
          </w:sdtContent>
        </w:sdt>
        <w:sdt>
          <w:sdtPr>
            <w:rPr>
              <w:sz w:val="20"/>
            </w:rPr>
            <w:id w:val="-1732535479"/>
            <w:placeholder>
              <w:docPart w:val="2101F787A1374ADD9574E9BE88F23539"/>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ED02C" w14:textId="033EA95D" w:rsidR="00E60021" w:rsidRPr="000A129D" w:rsidRDefault="00200532" w:rsidP="000A129D">
                <w:pPr>
                  <w:spacing w:after="0"/>
                  <w:jc w:val="center"/>
                  <w:rPr>
                    <w:rFonts w:ascii="Times New Roman" w:hAnsi="Times New Roman"/>
                    <w:sz w:val="20"/>
                  </w:rPr>
                </w:pPr>
                <w:r>
                  <w:rPr>
                    <w:sz w:val="20"/>
                  </w:rPr>
                  <w:t>Nei</w:t>
                </w:r>
              </w:p>
            </w:tc>
          </w:sdtContent>
        </w:sdt>
        <w:sdt>
          <w:sdtPr>
            <w:rPr>
              <w:sz w:val="20"/>
            </w:rPr>
            <w:id w:val="247317771"/>
            <w:placeholder>
              <w:docPart w:val="38D399C752A24706A31899876E83DF43"/>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4E953" w14:textId="4B0EC9FC" w:rsidR="00E60021" w:rsidRPr="000A129D" w:rsidRDefault="00200532" w:rsidP="000A129D">
                <w:pPr>
                  <w:spacing w:after="0"/>
                  <w:jc w:val="center"/>
                  <w:rPr>
                    <w:rFonts w:ascii="Times New Roman" w:hAnsi="Times New Roman"/>
                    <w:sz w:val="20"/>
                  </w:rPr>
                </w:pPr>
                <w:r>
                  <w:rPr>
                    <w:sz w:val="20"/>
                  </w:rPr>
                  <w:t>Nei</w:t>
                </w:r>
              </w:p>
            </w:tc>
          </w:sdtContent>
        </w:sdt>
        <w:sdt>
          <w:sdtPr>
            <w:rPr>
              <w:sz w:val="20"/>
            </w:rPr>
            <w:id w:val="1937699706"/>
            <w:placeholder>
              <w:docPart w:val="BC8A4B236D1B4961AD64B5F5092304F1"/>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7D79E" w14:textId="13D08669" w:rsidR="00E60021" w:rsidRPr="000A129D" w:rsidRDefault="00200532" w:rsidP="000A129D">
                <w:pPr>
                  <w:spacing w:after="0"/>
                  <w:jc w:val="center"/>
                  <w:rPr>
                    <w:rFonts w:ascii="Times New Roman" w:hAnsi="Times New Roman"/>
                    <w:sz w:val="20"/>
                  </w:rPr>
                </w:pPr>
                <w:r>
                  <w:rPr>
                    <w:sz w:val="20"/>
                  </w:rPr>
                  <w:t>Ja</w:t>
                </w:r>
              </w:p>
            </w:tc>
          </w:sdtContent>
        </w:sdt>
      </w:tr>
      <w:tr w:rsidR="00E60021" w:rsidRPr="000A129D" w14:paraId="5994513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1AA6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Umhvørvisligar avleiðingar</w:t>
            </w:r>
          </w:p>
        </w:tc>
        <w:sdt>
          <w:sdtPr>
            <w:rPr>
              <w:sz w:val="20"/>
            </w:rPr>
            <w:id w:val="-1105500463"/>
            <w:placeholder>
              <w:docPart w:val="970806F86C1B47748154B1740FD68A3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3974C" w14:textId="224F3176" w:rsidR="00E60021" w:rsidRPr="000A129D" w:rsidRDefault="00200532" w:rsidP="000A129D">
                <w:pPr>
                  <w:spacing w:after="0"/>
                  <w:jc w:val="center"/>
                  <w:rPr>
                    <w:rFonts w:ascii="Times New Roman" w:hAnsi="Times New Roman"/>
                    <w:sz w:val="20"/>
                  </w:rPr>
                </w:pPr>
                <w:r>
                  <w:rPr>
                    <w:sz w:val="20"/>
                  </w:rPr>
                  <w:t>Nei</w:t>
                </w:r>
              </w:p>
            </w:tc>
          </w:sdtContent>
        </w:sdt>
        <w:sdt>
          <w:sdtPr>
            <w:rPr>
              <w:sz w:val="20"/>
            </w:rPr>
            <w:id w:val="69170381"/>
            <w:placeholder>
              <w:docPart w:val="57AA0BE6F90E4A9E98B3B3D9566E7E09"/>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022F0" w14:textId="7C974E5A" w:rsidR="00E60021" w:rsidRPr="000A129D" w:rsidRDefault="00200532" w:rsidP="000A129D">
                <w:pPr>
                  <w:spacing w:after="0"/>
                  <w:jc w:val="center"/>
                  <w:rPr>
                    <w:rFonts w:ascii="Times New Roman" w:hAnsi="Times New Roman"/>
                    <w:sz w:val="20"/>
                  </w:rPr>
                </w:pPr>
                <w:r>
                  <w:rPr>
                    <w:sz w:val="20"/>
                  </w:rPr>
                  <w:t>Nei</w:t>
                </w:r>
              </w:p>
            </w:tc>
          </w:sdtContent>
        </w:sdt>
        <w:sdt>
          <w:sdtPr>
            <w:rPr>
              <w:sz w:val="20"/>
            </w:rPr>
            <w:id w:val="1469403764"/>
            <w:placeholder>
              <w:docPart w:val="24FF557617BA422584DE17D731ACA87E"/>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93358" w14:textId="059C56AE" w:rsidR="00E60021" w:rsidRPr="000A129D" w:rsidRDefault="00200532" w:rsidP="000A129D">
                <w:pPr>
                  <w:spacing w:after="0"/>
                  <w:jc w:val="center"/>
                  <w:rPr>
                    <w:rFonts w:ascii="Times New Roman" w:hAnsi="Times New Roman"/>
                    <w:sz w:val="20"/>
                  </w:rPr>
                </w:pPr>
                <w:r>
                  <w:rPr>
                    <w:sz w:val="20"/>
                  </w:rPr>
                  <w:t>Nei</w:t>
                </w:r>
              </w:p>
            </w:tc>
          </w:sdtContent>
        </w:sdt>
        <w:sdt>
          <w:sdtPr>
            <w:rPr>
              <w:sz w:val="20"/>
            </w:rPr>
            <w:id w:val="1456685929"/>
            <w:placeholder>
              <w:docPart w:val="0C8A9E75AC584EA0BF1941CFE4A7A44C"/>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38EDB" w14:textId="060DC4C8" w:rsidR="00E60021" w:rsidRPr="000A129D" w:rsidRDefault="00200532" w:rsidP="000A129D">
                <w:pPr>
                  <w:spacing w:after="0"/>
                  <w:jc w:val="center"/>
                  <w:rPr>
                    <w:rFonts w:ascii="Times New Roman" w:hAnsi="Times New Roman"/>
                    <w:sz w:val="20"/>
                  </w:rPr>
                </w:pPr>
                <w:r>
                  <w:rPr>
                    <w:sz w:val="20"/>
                  </w:rPr>
                  <w:t>Nei</w:t>
                </w:r>
              </w:p>
            </w:tc>
          </w:sdtContent>
        </w:sdt>
        <w:sdt>
          <w:sdtPr>
            <w:rPr>
              <w:sz w:val="20"/>
            </w:rPr>
            <w:id w:val="1671832337"/>
            <w:placeholder>
              <w:docPart w:val="701BE18FCBFC4F0C91972D93BA0C9007"/>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C6A3C" w14:textId="7725D051" w:rsidR="00E60021" w:rsidRPr="000A129D" w:rsidRDefault="00200532" w:rsidP="000A129D">
                <w:pPr>
                  <w:spacing w:after="0"/>
                  <w:jc w:val="center"/>
                  <w:rPr>
                    <w:rFonts w:ascii="Times New Roman" w:hAnsi="Times New Roman"/>
                    <w:sz w:val="20"/>
                  </w:rPr>
                </w:pPr>
                <w:r>
                  <w:rPr>
                    <w:sz w:val="20"/>
                  </w:rPr>
                  <w:t>Nei</w:t>
                </w:r>
              </w:p>
            </w:tc>
          </w:sdtContent>
        </w:sdt>
      </w:tr>
      <w:tr w:rsidR="00E60021" w:rsidRPr="000A129D" w14:paraId="4EDA29D3"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DA25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AF11B" w14:textId="14DE8213" w:rsidR="00E60021" w:rsidRPr="000A129D" w:rsidRDefault="00F43C63" w:rsidP="000A129D">
            <w:pPr>
              <w:spacing w:after="0"/>
              <w:jc w:val="center"/>
              <w:rPr>
                <w:rFonts w:ascii="Times New Roman" w:hAnsi="Times New Roman"/>
                <w:sz w:val="20"/>
              </w:rPr>
            </w:pPr>
            <w:sdt>
              <w:sdtPr>
                <w:rPr>
                  <w:sz w:val="20"/>
                </w:rPr>
                <w:id w:val="-1768680227"/>
                <w:placeholder>
                  <w:docPart w:val="4C26038C27144616BAF7A215D2FC9056"/>
                </w:placeholder>
                <w:comboBox>
                  <w:listItem w:displayText="Ja" w:value="Ja"/>
                  <w:listItem w:displayText="Nei" w:value="Nei"/>
                </w:comboBox>
              </w:sdtPr>
              <w:sdtEndPr/>
              <w:sdtContent>
                <w:r w:rsidR="00200532">
                  <w:rPr>
                    <w:sz w:val="20"/>
                  </w:rPr>
                  <w:t>Nei</w:t>
                </w:r>
              </w:sdtContent>
            </w:sdt>
          </w:p>
        </w:tc>
        <w:sdt>
          <w:sdtPr>
            <w:rPr>
              <w:sz w:val="20"/>
            </w:rPr>
            <w:id w:val="-613131601"/>
            <w:placeholder>
              <w:docPart w:val="A078AE7ED76A4E86AACD0968EB743687"/>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03D14" w14:textId="2C808BF3" w:rsidR="00E60021" w:rsidRPr="000A129D" w:rsidRDefault="00200532" w:rsidP="000A129D">
                <w:pPr>
                  <w:spacing w:after="0"/>
                  <w:jc w:val="center"/>
                  <w:rPr>
                    <w:rFonts w:ascii="Times New Roman" w:hAnsi="Times New Roman"/>
                    <w:sz w:val="20"/>
                  </w:rPr>
                </w:pPr>
                <w:r>
                  <w:rPr>
                    <w:sz w:val="20"/>
                  </w:rPr>
                  <w:t>Nei</w:t>
                </w:r>
              </w:p>
            </w:tc>
          </w:sdtContent>
        </w:sdt>
        <w:sdt>
          <w:sdtPr>
            <w:rPr>
              <w:sz w:val="20"/>
            </w:rPr>
            <w:id w:val="1136996114"/>
            <w:placeholder>
              <w:docPart w:val="FD4FD9A7A5124515AC2DFEF5BB4F30A9"/>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3D872" w14:textId="09159346" w:rsidR="00E60021" w:rsidRPr="000A129D" w:rsidRDefault="00200532" w:rsidP="000A129D">
                <w:pPr>
                  <w:spacing w:after="0"/>
                  <w:jc w:val="center"/>
                  <w:rPr>
                    <w:rFonts w:ascii="Times New Roman" w:hAnsi="Times New Roman"/>
                    <w:sz w:val="20"/>
                  </w:rPr>
                </w:pPr>
                <w:r>
                  <w:rPr>
                    <w:sz w:val="20"/>
                  </w:rPr>
                  <w:t>Nei</w:t>
                </w:r>
              </w:p>
            </w:tc>
          </w:sdtContent>
        </w:sdt>
        <w:sdt>
          <w:sdtPr>
            <w:rPr>
              <w:sz w:val="20"/>
            </w:rPr>
            <w:id w:val="1169521836"/>
            <w:placeholder>
              <w:docPart w:val="0FCD526AAC1D43C0A6818B6FC537B9E4"/>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37663" w14:textId="5F9630CA" w:rsidR="00E60021" w:rsidRPr="000A129D" w:rsidRDefault="00200532" w:rsidP="000A129D">
                <w:pPr>
                  <w:spacing w:after="0"/>
                  <w:jc w:val="center"/>
                  <w:rPr>
                    <w:rFonts w:ascii="Times New Roman" w:hAnsi="Times New Roman"/>
                    <w:sz w:val="20"/>
                  </w:rPr>
                </w:pPr>
                <w:r>
                  <w:rPr>
                    <w:sz w:val="20"/>
                  </w:rPr>
                  <w:t>Nei</w:t>
                </w:r>
              </w:p>
            </w:tc>
          </w:sdtContent>
        </w:sdt>
        <w:sdt>
          <w:sdtPr>
            <w:rPr>
              <w:sz w:val="20"/>
            </w:rPr>
            <w:id w:val="-1905216052"/>
            <w:placeholder>
              <w:docPart w:val="69050EC3BEB047ECB83AA4BCED6DDFB3"/>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1A02A" w14:textId="27A04564" w:rsidR="00E60021" w:rsidRPr="000A129D" w:rsidRDefault="00200532" w:rsidP="000A129D">
                <w:pPr>
                  <w:spacing w:after="0"/>
                  <w:jc w:val="center"/>
                  <w:rPr>
                    <w:rFonts w:ascii="Times New Roman" w:hAnsi="Times New Roman"/>
                    <w:sz w:val="20"/>
                  </w:rPr>
                </w:pPr>
                <w:r>
                  <w:rPr>
                    <w:sz w:val="20"/>
                  </w:rPr>
                  <w:t>Nei</w:t>
                </w:r>
              </w:p>
            </w:tc>
          </w:sdtContent>
        </w:sdt>
      </w:tr>
      <w:tr w:rsidR="00E60021" w:rsidRPr="000A129D" w14:paraId="07C3DF9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350D5"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22C0B24E" w14:textId="77777777" w:rsidR="00E60021" w:rsidRPr="000A129D" w:rsidRDefault="00E60021" w:rsidP="000A129D">
            <w:pPr>
              <w:spacing w:after="0"/>
              <w:jc w:val="center"/>
              <w:rPr>
                <w:rFonts w:ascii="Times New Roman" w:hAnsi="Times New Roman"/>
                <w:b/>
                <w:bCs/>
                <w:sz w:val="24"/>
                <w:szCs w:val="20"/>
              </w:rPr>
            </w:pPr>
          </w:p>
        </w:tc>
        <w:sdt>
          <w:sdtPr>
            <w:rPr>
              <w:sz w:val="20"/>
            </w:rPr>
            <w:id w:val="-1092471004"/>
            <w:placeholder>
              <w:docPart w:val="FEF38AF8C36D4105B9A676B79D05A980"/>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51348" w14:textId="3806CED1" w:rsidR="00E60021" w:rsidRPr="000A129D" w:rsidRDefault="00200532" w:rsidP="000A129D">
                <w:pPr>
                  <w:spacing w:after="0"/>
                  <w:jc w:val="center"/>
                  <w:rPr>
                    <w:rFonts w:ascii="Times New Roman" w:hAnsi="Times New Roman"/>
                    <w:sz w:val="20"/>
                  </w:rPr>
                </w:pPr>
                <w:r>
                  <w:rPr>
                    <w:sz w:val="20"/>
                  </w:rPr>
                  <w:t>Nei</w:t>
                </w:r>
              </w:p>
            </w:tc>
          </w:sdtContent>
        </w:sdt>
        <w:sdt>
          <w:sdtPr>
            <w:rPr>
              <w:sz w:val="20"/>
            </w:rPr>
            <w:id w:val="-1251424783"/>
            <w:placeholder>
              <w:docPart w:val="601063289B094D8CBF4EDEE10F6F6DD1"/>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18CCB" w14:textId="359A663C" w:rsidR="00E60021" w:rsidRPr="000A129D" w:rsidRDefault="00200532" w:rsidP="000A129D">
                <w:pPr>
                  <w:spacing w:after="0"/>
                  <w:jc w:val="center"/>
                  <w:rPr>
                    <w:rFonts w:ascii="Times New Roman" w:hAnsi="Times New Roman"/>
                    <w:sz w:val="20"/>
                  </w:rPr>
                </w:pPr>
                <w:r>
                  <w:rPr>
                    <w:sz w:val="20"/>
                  </w:rPr>
                  <w:t>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6C32735" w14:textId="77777777" w:rsidR="00E60021" w:rsidRPr="000A129D" w:rsidRDefault="00E60021" w:rsidP="000A129D">
            <w:pPr>
              <w:spacing w:after="0"/>
              <w:jc w:val="center"/>
              <w:rPr>
                <w:rFonts w:ascii="Times New Roman" w:hAnsi="Times New Roman"/>
                <w:b/>
                <w:bCs/>
                <w:sz w:val="24"/>
                <w:szCs w:val="20"/>
              </w:rPr>
            </w:pPr>
          </w:p>
        </w:tc>
      </w:tr>
    </w:tbl>
    <w:p w14:paraId="00666F31" w14:textId="77777777" w:rsidR="00E60021" w:rsidRPr="000A129D" w:rsidRDefault="00E60021" w:rsidP="000A129D">
      <w:pPr>
        <w:spacing w:after="0"/>
        <w:rPr>
          <w:rFonts w:eastAsia="Times New Roman"/>
          <w:b/>
          <w:bCs/>
          <w:color w:val="000000"/>
          <w:szCs w:val="26"/>
          <w:lang w:eastAsia="en-US"/>
        </w:rPr>
      </w:pPr>
    </w:p>
    <w:p w14:paraId="74C46684" w14:textId="77777777" w:rsidR="00E60021" w:rsidRPr="000A129D" w:rsidRDefault="00E60021" w:rsidP="000A129D">
      <w:pPr>
        <w:spacing w:after="0"/>
        <w:rPr>
          <w:rFonts w:eastAsia="Times New Roman"/>
          <w:b/>
          <w:bCs/>
          <w:color w:val="000000"/>
          <w:szCs w:val="26"/>
        </w:rPr>
      </w:pPr>
    </w:p>
    <w:p w14:paraId="2D9DCD3E" w14:textId="77777777" w:rsidR="00E60021" w:rsidRPr="000A129D" w:rsidRDefault="00E60021" w:rsidP="000A129D">
      <w:pPr>
        <w:spacing w:after="0"/>
        <w:rPr>
          <w:rFonts w:eastAsia="Times New Roman"/>
          <w:b/>
          <w:bCs/>
          <w:color w:val="000000"/>
          <w:szCs w:val="26"/>
        </w:rPr>
      </w:pPr>
      <w:r w:rsidRPr="000A129D">
        <w:rPr>
          <w:rFonts w:eastAsia="Times New Roman"/>
          <w:b/>
          <w:bCs/>
          <w:color w:val="000000"/>
          <w:szCs w:val="26"/>
        </w:rPr>
        <w:br w:type="page"/>
      </w:r>
    </w:p>
    <w:p w14:paraId="19D78BFB" w14:textId="77777777" w:rsidR="00E60021" w:rsidRPr="000A129D" w:rsidRDefault="00E60021" w:rsidP="000A129D">
      <w:pPr>
        <w:spacing w:after="0"/>
        <w:rPr>
          <w:rFonts w:eastAsia="Times New Roman"/>
          <w:b/>
          <w:bCs/>
          <w:color w:val="000000"/>
          <w:szCs w:val="26"/>
        </w:rPr>
      </w:pPr>
      <w:r w:rsidRPr="000A129D">
        <w:rPr>
          <w:rFonts w:eastAsia="Times New Roman"/>
          <w:b/>
          <w:bCs/>
          <w:color w:val="000000"/>
          <w:szCs w:val="26"/>
        </w:rPr>
        <w:lastRenderedPageBreak/>
        <w:t xml:space="preserve">Kapittul 3. </w:t>
      </w:r>
      <w:r w:rsidRPr="000A129D">
        <w:rPr>
          <w:b/>
        </w:rPr>
        <w:t>Serligar viðmerkingar</w:t>
      </w:r>
    </w:p>
    <w:p w14:paraId="7D21E875" w14:textId="77777777" w:rsidR="00E60021" w:rsidRPr="000A129D" w:rsidRDefault="00E60021" w:rsidP="000A129D">
      <w:pPr>
        <w:spacing w:after="0"/>
        <w:rPr>
          <w:b/>
        </w:rPr>
      </w:pPr>
    </w:p>
    <w:p w14:paraId="18DFCD43" w14:textId="64B62006" w:rsidR="00E60021" w:rsidRDefault="00E60021" w:rsidP="000A129D">
      <w:pPr>
        <w:spacing w:after="0"/>
        <w:jc w:val="both"/>
        <w:rPr>
          <w:b/>
        </w:rPr>
      </w:pPr>
      <w:r w:rsidRPr="000A129D">
        <w:rPr>
          <w:b/>
        </w:rPr>
        <w:t>3.1. Viðmerkingar til ta einstøku greinina</w:t>
      </w:r>
    </w:p>
    <w:p w14:paraId="39F77EF7" w14:textId="77777777" w:rsidR="0003406A" w:rsidRPr="000A129D" w:rsidRDefault="0003406A" w:rsidP="000A129D">
      <w:pPr>
        <w:spacing w:after="0"/>
        <w:jc w:val="both"/>
        <w:rPr>
          <w:b/>
        </w:rPr>
      </w:pPr>
    </w:p>
    <w:p w14:paraId="350BF47B" w14:textId="3C24E96B" w:rsidR="007865E4" w:rsidRDefault="007865E4" w:rsidP="007865E4">
      <w:pPr>
        <w:spacing w:after="0"/>
        <w:jc w:val="both"/>
        <w:rPr>
          <w:b/>
        </w:rPr>
      </w:pPr>
      <w:r w:rsidRPr="000A129D">
        <w:rPr>
          <w:b/>
        </w:rPr>
        <w:t>Til § 1</w:t>
      </w:r>
    </w:p>
    <w:p w14:paraId="1C1AFC08" w14:textId="72675E60" w:rsidR="00C51AC0" w:rsidRDefault="00C51AC0" w:rsidP="00C51AC0">
      <w:pPr>
        <w:spacing w:after="0"/>
        <w:jc w:val="both"/>
      </w:pPr>
      <w:r>
        <w:t xml:space="preserve">Í sambandi við broytingaruppskotið er § 2 í galdandi lóg býtt sundur í 3 greinar, § 2, § 2a og </w:t>
      </w:r>
      <w:r w:rsidR="00A46909">
        <w:t xml:space="preserve">§ </w:t>
      </w:r>
      <w:r>
        <w:t xml:space="preserve">2b. </w:t>
      </w:r>
    </w:p>
    <w:p w14:paraId="7DB4CC9F" w14:textId="77777777" w:rsidR="00C51AC0" w:rsidRPr="000A129D" w:rsidRDefault="00C51AC0" w:rsidP="007865E4">
      <w:pPr>
        <w:spacing w:after="0"/>
        <w:jc w:val="both"/>
        <w:rPr>
          <w:b/>
        </w:rPr>
      </w:pPr>
    </w:p>
    <w:p w14:paraId="0EF44B76" w14:textId="77777777" w:rsidR="009A78E7" w:rsidRPr="009A78E7" w:rsidRDefault="009A78E7" w:rsidP="007865E4">
      <w:pPr>
        <w:spacing w:after="0"/>
        <w:jc w:val="both"/>
        <w:rPr>
          <w:b/>
          <w:bCs/>
        </w:rPr>
      </w:pPr>
      <w:r w:rsidRPr="009A78E7">
        <w:rPr>
          <w:b/>
          <w:bCs/>
        </w:rPr>
        <w:t>Nr. 1</w:t>
      </w:r>
    </w:p>
    <w:p w14:paraId="1786451B" w14:textId="53F2588C" w:rsidR="007865E4" w:rsidRDefault="007865E4" w:rsidP="007865E4">
      <w:pPr>
        <w:spacing w:after="0"/>
        <w:jc w:val="both"/>
      </w:pPr>
      <w:r>
        <w:t>Avgjaldsgrundarlagið verður framvegis roknað sum tann nøgdin, alifelagið hevur slaktað í kruvdari vekt, faldað við miðal altjóða marknaðarprísinum sama mánað. Hetta er eins og í galdandi lóg. Mánaðarligi miðalspotprísurin í evrum fyri kruvdan laks sambært Fish Pool Index verður framvegis brúktur sum altjóða marknaðarprísur at rokna avgjaldsgrundarlagið undir loyvisgjaldinum. Hetta er sama skipan, sum eftir galdandi lóg.</w:t>
      </w:r>
    </w:p>
    <w:p w14:paraId="1515E1AC" w14:textId="77777777" w:rsidR="007865E4" w:rsidRDefault="007865E4" w:rsidP="007865E4">
      <w:pPr>
        <w:spacing w:after="0"/>
        <w:jc w:val="both"/>
      </w:pPr>
    </w:p>
    <w:p w14:paraId="037F3431" w14:textId="2C720B8E" w:rsidR="007865E4" w:rsidRDefault="007865E4" w:rsidP="007865E4">
      <w:pPr>
        <w:spacing w:after="0"/>
        <w:jc w:val="both"/>
      </w:pPr>
      <w:r>
        <w:t>Framleiðslukostnað</w:t>
      </w:r>
      <w:r w:rsidR="00C624A6">
        <w:t>urin</w:t>
      </w:r>
      <w:r>
        <w:t xml:space="preserve"> fyri kilo verður útroknaður árliga. Hetta verður gjørt við støði í almennu roknskapunum hjá alifyritøkunum. Tað eru ársroknskapirnir í undanfarna ári, sum verða nýttir í hesum høpi. Sostatt eru tað roknskapirnir fyri 2021, ið verða nýttir, tá framleiðslukostnaðurin skal ásetast fyri 2023. Framleiðslukostnaðurin fyri 2023, sum byggir á roknskapartøl frá 2021, er roknaður til at vera 39,15 kr. fyri kilo.</w:t>
      </w:r>
    </w:p>
    <w:p w14:paraId="4201F1D3" w14:textId="77777777" w:rsidR="007865E4" w:rsidRDefault="007865E4" w:rsidP="007865E4">
      <w:pPr>
        <w:spacing w:after="0"/>
        <w:jc w:val="both"/>
      </w:pPr>
    </w:p>
    <w:p w14:paraId="5FA70411" w14:textId="5F73E582" w:rsidR="007865E4" w:rsidRDefault="007865E4" w:rsidP="007865E4">
      <w:pPr>
        <w:spacing w:after="0"/>
        <w:jc w:val="both"/>
      </w:pPr>
      <w:r>
        <w:t xml:space="preserve">Hátturin, ið verður nýttur til at finna </w:t>
      </w:r>
      <w:r w:rsidR="00EF329C">
        <w:t xml:space="preserve">miðal </w:t>
      </w:r>
      <w:r>
        <w:t>framleiðslukostnaðin, er hesin:</w:t>
      </w:r>
    </w:p>
    <w:p w14:paraId="2553E6E8" w14:textId="77777777" w:rsidR="007865E4" w:rsidRDefault="007865E4" w:rsidP="007865E4">
      <w:pPr>
        <w:spacing w:after="0"/>
        <w:jc w:val="both"/>
      </w:pPr>
    </w:p>
    <w:p w14:paraId="1ECE06E2" w14:textId="77777777" w:rsidR="007865E4" w:rsidRDefault="007865E4" w:rsidP="007865E4">
      <w:pPr>
        <w:spacing w:after="0"/>
        <w:jc w:val="both"/>
      </w:pPr>
      <w:r>
        <w:t>Framleiðslukostnaður =</w:t>
      </w:r>
    </w:p>
    <w:p w14:paraId="60EAD335" w14:textId="77777777" w:rsidR="007865E4" w:rsidRDefault="007865E4" w:rsidP="007865E4">
      <w:pPr>
        <w:spacing w:after="0"/>
        <w:jc w:val="both"/>
      </w:pPr>
      <w:r>
        <w:t xml:space="preserve">+ Kostnaðir til rávørur og hjálpitilfar  </w:t>
      </w:r>
    </w:p>
    <w:p w14:paraId="2BB5808E" w14:textId="3B3CC167" w:rsidR="007865E4" w:rsidRDefault="007865E4" w:rsidP="007865E4">
      <w:pPr>
        <w:spacing w:after="0"/>
        <w:jc w:val="both"/>
      </w:pPr>
      <w:r>
        <w:t>+</w:t>
      </w:r>
      <w:r w:rsidR="00E34EF1">
        <w:t xml:space="preserve"> </w:t>
      </w:r>
      <w:r>
        <w:t>Goymslubroytingar</w:t>
      </w:r>
    </w:p>
    <w:p w14:paraId="6D119B6E" w14:textId="77777777" w:rsidR="007865E4" w:rsidRDefault="007865E4" w:rsidP="007865E4">
      <w:pPr>
        <w:spacing w:after="0"/>
        <w:jc w:val="both"/>
      </w:pPr>
      <w:r>
        <w:t xml:space="preserve">+ aðrir uttanhýsis kostnaðir  </w:t>
      </w:r>
    </w:p>
    <w:p w14:paraId="5784AE9D" w14:textId="77777777" w:rsidR="007865E4" w:rsidRDefault="007865E4" w:rsidP="007865E4">
      <w:pPr>
        <w:spacing w:after="0"/>
        <w:jc w:val="both"/>
      </w:pPr>
      <w:r>
        <w:t xml:space="preserve">+ starvsfólkakostnaðir  </w:t>
      </w:r>
    </w:p>
    <w:p w14:paraId="182BAD5B" w14:textId="77777777" w:rsidR="007865E4" w:rsidRDefault="007865E4" w:rsidP="007865E4">
      <w:pPr>
        <w:spacing w:after="0"/>
        <w:jc w:val="both"/>
      </w:pPr>
      <w:r>
        <w:t xml:space="preserve">+ av- og niðurskrivingarkostnaðir  </w:t>
      </w:r>
    </w:p>
    <w:p w14:paraId="5EA63A3F" w14:textId="77777777" w:rsidR="007865E4" w:rsidRDefault="007865E4" w:rsidP="007865E4">
      <w:pPr>
        <w:spacing w:after="0"/>
        <w:jc w:val="both"/>
      </w:pPr>
      <w:r>
        <w:t>÷ tøkugjaldið til landskassan.</w:t>
      </w:r>
    </w:p>
    <w:p w14:paraId="2A1579F3" w14:textId="77777777" w:rsidR="007865E4" w:rsidRDefault="007865E4" w:rsidP="007865E4">
      <w:pPr>
        <w:spacing w:after="0"/>
        <w:jc w:val="both"/>
      </w:pPr>
    </w:p>
    <w:p w14:paraId="14F42ACF" w14:textId="77777777" w:rsidR="007865E4" w:rsidRDefault="007865E4" w:rsidP="007865E4">
      <w:pPr>
        <w:spacing w:after="0"/>
        <w:jc w:val="both"/>
      </w:pPr>
      <w:r w:rsidRPr="00CD4004">
        <w:rPr>
          <w:i/>
          <w:iCs/>
        </w:rPr>
        <w:t>Kostnaðir til rávørur og hjálpartilfar:</w:t>
      </w:r>
      <w:r>
        <w:t xml:space="preserve"> Kostnaðir til rávørur og hjálpartilfar eru sum oftast uppgivnir í rakstrarroknskapinum sum ein serstakur postur. Tó upplýsa summar fyritøkur  einans aðrar uttanhýsis kostnaðir í einum bruttoposti, har kostnaðir til rávørur og hjálpartilfar eru innroknaðir. Í slíkum føri eru tað einans aðrir uttanhýsis kostnaðir, sum verða nýttir í útrokningini. Tað er rakstarroknskapurin í ársfrásøgnini, sum skal nýtast í útrokningini.</w:t>
      </w:r>
    </w:p>
    <w:p w14:paraId="761AFE45" w14:textId="77777777" w:rsidR="007865E4" w:rsidRDefault="007865E4" w:rsidP="007865E4">
      <w:pPr>
        <w:spacing w:after="0"/>
        <w:jc w:val="both"/>
      </w:pPr>
    </w:p>
    <w:p w14:paraId="04998A51" w14:textId="3E56C930" w:rsidR="007865E4" w:rsidRDefault="007865E4" w:rsidP="007865E4">
      <w:pPr>
        <w:spacing w:after="0"/>
        <w:jc w:val="both"/>
      </w:pPr>
      <w:r w:rsidRPr="00CD4004">
        <w:rPr>
          <w:i/>
          <w:iCs/>
        </w:rPr>
        <w:t>Goymslubroytingar:</w:t>
      </w:r>
      <w:r>
        <w:t xml:space="preserve"> Her er talan um goymslubroytingar av li</w:t>
      </w:r>
      <w:r w:rsidR="0003406A">
        <w:t xml:space="preserve">dnum </w:t>
      </w:r>
      <w:r>
        <w:t>vørum og vørum í gerð. Virðið á goymslubroytingunum er tað í rakstrarroknskapinum uppgivna virðið. Tað er rakstrarroknskapurin í ársfrásøgnini, sum skal nýtast í útrokningini.</w:t>
      </w:r>
    </w:p>
    <w:p w14:paraId="115BF29C" w14:textId="77777777" w:rsidR="007865E4" w:rsidRDefault="007865E4" w:rsidP="007865E4">
      <w:pPr>
        <w:spacing w:after="0"/>
        <w:jc w:val="both"/>
      </w:pPr>
    </w:p>
    <w:p w14:paraId="0F771275" w14:textId="22710ABC" w:rsidR="007865E4" w:rsidRDefault="007865E4" w:rsidP="007865E4">
      <w:pPr>
        <w:spacing w:after="0"/>
        <w:jc w:val="both"/>
      </w:pPr>
      <w:r w:rsidRPr="00CD4004">
        <w:rPr>
          <w:i/>
          <w:iCs/>
        </w:rPr>
        <w:t>Aðrir uttanhýsis kostnaðir:</w:t>
      </w:r>
      <w:r>
        <w:t xml:space="preserve"> Aðrir uttanhýsis kostnaðir eru uppgivnir í rakstrarroknskapinum. Summar fyritøkur uppgeva aðrar uttanhýsis kostnaðir í einum bruttoposti, sum eisini umfata  kostnaðir til rávørur og hjálpartilfar. Aðrar fyritøkur skilja ímillum aðrar uttanhýsis kostnaðir og kostnaðir til rávørur og hjálpartilfar. Fyri útrokningina er tað umráðandi, at bæði aðrir uttanhýsis kostnaðir og kostnaðir til rávørur og hjálpartilfar verða tiknir við. Tað er rakstrarroknskapurin í ársfrásøgnini, sum skal nýtast í útrokningini.</w:t>
      </w:r>
    </w:p>
    <w:p w14:paraId="660BC66D" w14:textId="77777777" w:rsidR="007865E4" w:rsidRDefault="007865E4" w:rsidP="007865E4">
      <w:pPr>
        <w:spacing w:after="0"/>
        <w:jc w:val="both"/>
      </w:pPr>
    </w:p>
    <w:p w14:paraId="6CC83F14" w14:textId="77777777" w:rsidR="007865E4" w:rsidRDefault="007865E4" w:rsidP="007865E4">
      <w:pPr>
        <w:spacing w:after="0"/>
        <w:jc w:val="both"/>
      </w:pPr>
      <w:r w:rsidRPr="00CD4004">
        <w:rPr>
          <w:i/>
          <w:iCs/>
        </w:rPr>
        <w:t>Starvsfólkakostnaðir:</w:t>
      </w:r>
      <w:r>
        <w:t xml:space="preserve"> Starvsfólkakostnaðir eru teir, ið eru uppgivnir í rakstrarroknskapinum. Tað er rakstrarroknskapurin í ársfrásøgnini, sum skal nýtast í útrokningini.</w:t>
      </w:r>
    </w:p>
    <w:p w14:paraId="5928C94A" w14:textId="77777777" w:rsidR="007865E4" w:rsidRDefault="007865E4" w:rsidP="007865E4">
      <w:pPr>
        <w:spacing w:after="0"/>
        <w:jc w:val="both"/>
      </w:pPr>
    </w:p>
    <w:p w14:paraId="0CBF12CC" w14:textId="2448F7F8" w:rsidR="007865E4" w:rsidRDefault="007865E4" w:rsidP="007865E4">
      <w:pPr>
        <w:spacing w:after="0"/>
        <w:jc w:val="both"/>
      </w:pPr>
      <w:r w:rsidRPr="00CD4004">
        <w:rPr>
          <w:i/>
          <w:iCs/>
        </w:rPr>
        <w:t>Av- og niðurskrivingar:</w:t>
      </w:r>
      <w:r>
        <w:t xml:space="preserve"> Tað eru av- og niðurskrivingarnar í rakstrarroknskapinum, sum skulu nýtast. Í hesum sambandi er tað rakstrarroknskapurin í ársfrásøgnini, sum skal nýtast til útrokningina.</w:t>
      </w:r>
    </w:p>
    <w:p w14:paraId="1E5DA4DC" w14:textId="77777777" w:rsidR="009A78E7" w:rsidRDefault="009A78E7" w:rsidP="007865E4">
      <w:pPr>
        <w:spacing w:after="0"/>
        <w:jc w:val="both"/>
      </w:pPr>
    </w:p>
    <w:p w14:paraId="1940D9B4" w14:textId="65B58F08" w:rsidR="007865E4" w:rsidRDefault="007865E4" w:rsidP="007865E4">
      <w:pPr>
        <w:spacing w:after="0"/>
        <w:jc w:val="both"/>
      </w:pPr>
      <w:r w:rsidRPr="00CD4004">
        <w:rPr>
          <w:i/>
          <w:iCs/>
        </w:rPr>
        <w:t>Tøkugjaldið til landskassan:</w:t>
      </w:r>
      <w:r>
        <w:t xml:space="preserve"> Hjá alifyritøkunum er tøkugjaldið ein kostnaður, sum verður skrásettur í rakstrarroknskapinum, undir </w:t>
      </w:r>
      <w:r w:rsidR="0003406A" w:rsidRPr="00AE28D0">
        <w:rPr>
          <w:i/>
          <w:iCs/>
        </w:rPr>
        <w:t>A</w:t>
      </w:r>
      <w:r w:rsidRPr="00AE28D0">
        <w:rPr>
          <w:i/>
          <w:iCs/>
        </w:rPr>
        <w:t>ðrir uttanhýsis kostnaðir</w:t>
      </w:r>
      <w:r>
        <w:t xml:space="preserve">. Tøkugjaldið er ikki at meta sum ein framleiðslukostnaður og verður tí trekt frá í útrokningini. </w:t>
      </w:r>
    </w:p>
    <w:p w14:paraId="67EC8DB4" w14:textId="77777777" w:rsidR="007865E4" w:rsidRDefault="007865E4" w:rsidP="007865E4">
      <w:pPr>
        <w:spacing w:after="0"/>
        <w:jc w:val="both"/>
      </w:pPr>
    </w:p>
    <w:p w14:paraId="79051EE2" w14:textId="285297D7" w:rsidR="007865E4" w:rsidRDefault="007865E4" w:rsidP="007865E4">
      <w:pPr>
        <w:spacing w:after="0"/>
        <w:jc w:val="both"/>
      </w:pPr>
      <w:r>
        <w:t xml:space="preserve">Framleiðslukostnaðurin fyri kilo er samlaði framleiðslukostnaðurin/tøkan í kruvdari vekt. </w:t>
      </w:r>
    </w:p>
    <w:p w14:paraId="547EC4E7" w14:textId="77777777" w:rsidR="007865E4" w:rsidRDefault="007865E4" w:rsidP="007865E4">
      <w:pPr>
        <w:spacing w:after="0"/>
        <w:jc w:val="both"/>
      </w:pPr>
    </w:p>
    <w:p w14:paraId="1E54B50D" w14:textId="2B0C5A94" w:rsidR="007865E4" w:rsidRDefault="007865E4" w:rsidP="007865E4">
      <w:pPr>
        <w:spacing w:after="0"/>
        <w:jc w:val="both"/>
      </w:pPr>
      <w:r>
        <w:t xml:space="preserve">Hetta roknistykkið verður gjørt fyri alipartin av alifyritøkunum í Føroyum. Eru tað alifyritøkur, sum eisini hava annað virksemi, t.d. fóðurframleiðslu, fiskavirking á landi, o.s.fr., skal hetta ikki takast við, tá framleiðslukostnaðurin verður útroknaður. Tað eru einans roknskapartølini frá sjálvum alivirkseminum, sum verða nýtt í hesum høpi. </w:t>
      </w:r>
      <w:r w:rsidRPr="00702ECC">
        <w:t>Hesi eru at finna í roknskapunum hjá føroysku alifyritøkunum.</w:t>
      </w:r>
      <w:r w:rsidR="00C624A6">
        <w:t xml:space="preserve"> </w:t>
      </w:r>
    </w:p>
    <w:p w14:paraId="32B2731D" w14:textId="146F84AA" w:rsidR="007865E4" w:rsidRDefault="007865E4" w:rsidP="007865E4">
      <w:pPr>
        <w:spacing w:after="0"/>
        <w:jc w:val="both"/>
      </w:pPr>
    </w:p>
    <w:p w14:paraId="15412D60" w14:textId="6D28829E" w:rsidR="00A9201E" w:rsidRDefault="00A9201E" w:rsidP="007865E4">
      <w:pPr>
        <w:spacing w:after="0"/>
        <w:jc w:val="both"/>
      </w:pPr>
      <w:r w:rsidRPr="00F83011">
        <w:rPr>
          <w:noProof/>
        </w:rPr>
        <w:drawing>
          <wp:inline distT="0" distB="0" distL="0" distR="0" wp14:anchorId="4627E9EC" wp14:editId="753790F5">
            <wp:extent cx="5731510" cy="1300480"/>
            <wp:effectExtent l="0" t="0" r="254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300480"/>
                    </a:xfrm>
                    <a:prstGeom prst="rect">
                      <a:avLst/>
                    </a:prstGeom>
                    <a:noFill/>
                    <a:ln>
                      <a:noFill/>
                    </a:ln>
                  </pic:spPr>
                </pic:pic>
              </a:graphicData>
            </a:graphic>
          </wp:inline>
        </w:drawing>
      </w:r>
    </w:p>
    <w:p w14:paraId="5BD3F345" w14:textId="77777777" w:rsidR="00A9201E" w:rsidRDefault="00A9201E" w:rsidP="007865E4">
      <w:pPr>
        <w:spacing w:after="0"/>
        <w:jc w:val="both"/>
      </w:pPr>
    </w:p>
    <w:p w14:paraId="33B7E7D7" w14:textId="788E9A34" w:rsidR="007865E4" w:rsidRDefault="007865E4" w:rsidP="007865E4">
      <w:pPr>
        <w:spacing w:after="0"/>
        <w:jc w:val="both"/>
      </w:pPr>
      <w:r>
        <w:t>Uppskotið broytir lógina soleiðis, at alifyritøkurnar skulu gjalda lutfalsliga meira, tá laksaprísirnir eru høgir.</w:t>
      </w:r>
    </w:p>
    <w:p w14:paraId="3145EF02" w14:textId="77777777" w:rsidR="007865E4" w:rsidRDefault="007865E4" w:rsidP="007865E4">
      <w:pPr>
        <w:spacing w:after="0"/>
        <w:jc w:val="both"/>
      </w:pPr>
    </w:p>
    <w:p w14:paraId="62EEF9A4" w14:textId="4054FF9F" w:rsidR="007865E4" w:rsidRDefault="007865E4" w:rsidP="007865E4">
      <w:pPr>
        <w:spacing w:after="0"/>
        <w:jc w:val="both"/>
      </w:pPr>
      <w:r>
        <w:t>Avgjaldsgrundarlagið er tann nøgdin</w:t>
      </w:r>
      <w:r w:rsidR="00C624A6">
        <w:t xml:space="preserve"> í kruvdari vekt</w:t>
      </w:r>
      <w:r>
        <w:t>, alifelagið hevur slaktað ein ávísan mánað, faldað við miðal altjóða marknaðarprísinum sama mánað. Tøkugjaldið verður funnið við</w:t>
      </w:r>
      <w:r w:rsidR="00810FD9">
        <w:t>,</w:t>
      </w:r>
      <w:r>
        <w:t xml:space="preserve"> at avgjaldsgrundarlagið verður faldað við viðkomandi prosentsatsi, ið er stigvíst hækkandi, alt eftir hvør miðal altjóða marknaðarprísurin er.</w:t>
      </w:r>
    </w:p>
    <w:p w14:paraId="682BF69C" w14:textId="4CFFA850" w:rsidR="007865E4" w:rsidRDefault="007865E4" w:rsidP="007865E4">
      <w:pPr>
        <w:spacing w:after="0"/>
        <w:jc w:val="both"/>
      </w:pPr>
    </w:p>
    <w:p w14:paraId="06E8D29E" w14:textId="0397EB9A" w:rsidR="009A78E7" w:rsidRPr="009A78E7" w:rsidRDefault="009A78E7" w:rsidP="007865E4">
      <w:pPr>
        <w:spacing w:after="0"/>
        <w:jc w:val="both"/>
        <w:rPr>
          <w:b/>
          <w:bCs/>
        </w:rPr>
      </w:pPr>
      <w:r w:rsidRPr="009A78E7">
        <w:rPr>
          <w:b/>
          <w:bCs/>
        </w:rPr>
        <w:t>Nr. 2</w:t>
      </w:r>
    </w:p>
    <w:p w14:paraId="69875617" w14:textId="6AE48EFC" w:rsidR="00D45F56" w:rsidRDefault="002D2420" w:rsidP="007865E4">
      <w:pPr>
        <w:spacing w:after="0"/>
        <w:jc w:val="both"/>
      </w:pPr>
      <w:r>
        <w:t>Fyri greidleika</w:t>
      </w:r>
      <w:r w:rsidR="00A47B75">
        <w:t>ns</w:t>
      </w:r>
      <w:r>
        <w:t xml:space="preserve"> skyld verður skotið upp</w:t>
      </w:r>
      <w:r w:rsidR="00D45F56">
        <w:t>,</w:t>
      </w:r>
      <w:r>
        <w:t xml:space="preserve"> at gjaldið verður ásett í nýggjari § 2a</w:t>
      </w:r>
      <w:r w:rsidR="00591A6E">
        <w:t xml:space="preserve">. </w:t>
      </w:r>
      <w:r w:rsidR="00C624A6">
        <w:t>Samstundis</w:t>
      </w:r>
      <w:r w:rsidR="00591A6E">
        <w:t xml:space="preserve"> verður skotið upp</w:t>
      </w:r>
      <w:r w:rsidR="00C624A6">
        <w:t>,</w:t>
      </w:r>
      <w:r w:rsidR="00591A6E">
        <w:t xml:space="preserve"> at § 2, stk. </w:t>
      </w:r>
      <w:r w:rsidR="00591A6E" w:rsidRPr="002F2398">
        <w:t>5-7</w:t>
      </w:r>
      <w:r w:rsidR="00A47B75">
        <w:t>,</w:t>
      </w:r>
      <w:r w:rsidR="00591A6E">
        <w:t xml:space="preserve"> gerast partur av nýggju § 2a. </w:t>
      </w:r>
      <w:r w:rsidR="00C624A6">
        <w:t>Harumframt</w:t>
      </w:r>
      <w:r w:rsidR="00591A6E">
        <w:t xml:space="preserve"> eru</w:t>
      </w:r>
      <w:r w:rsidR="00D45F56">
        <w:t xml:space="preserve"> </w:t>
      </w:r>
      <w:r w:rsidR="00591A6E">
        <w:t>smá</w:t>
      </w:r>
      <w:r w:rsidR="00D45F56">
        <w:t>vegis málsligar broytingar gjørdar</w:t>
      </w:r>
      <w:r w:rsidR="00591A6E">
        <w:t>.</w:t>
      </w:r>
      <w:r w:rsidR="00D45F56">
        <w:t xml:space="preserve"> </w:t>
      </w:r>
    </w:p>
    <w:p w14:paraId="4CC8DDA9" w14:textId="77777777" w:rsidR="00D45F56" w:rsidRDefault="00D45F56" w:rsidP="007865E4">
      <w:pPr>
        <w:spacing w:after="0"/>
        <w:jc w:val="both"/>
      </w:pPr>
    </w:p>
    <w:p w14:paraId="3FDEE2BE" w14:textId="763613E9" w:rsidR="003C2183" w:rsidRDefault="003C2183" w:rsidP="007865E4">
      <w:pPr>
        <w:spacing w:after="0"/>
        <w:jc w:val="both"/>
      </w:pPr>
      <w:r>
        <w:t>Skotið verður</w:t>
      </w:r>
      <w:r w:rsidR="00B65A65">
        <w:t xml:space="preserve"> upp</w:t>
      </w:r>
      <w:r>
        <w:t xml:space="preserve"> at tillaga verandi skipan soleiðis</w:t>
      </w:r>
      <w:r w:rsidR="00E72C86">
        <w:t>,</w:t>
      </w:r>
      <w:r>
        <w:t xml:space="preserve"> at nøkur </w:t>
      </w:r>
      <w:r w:rsidR="00A47B75">
        <w:t>stig</w:t>
      </w:r>
      <w:r>
        <w:t xml:space="preserve"> verða løgd inn aftu</w:t>
      </w:r>
      <w:r w:rsidR="00B65A65">
        <w:t>r</w:t>
      </w:r>
      <w:r>
        <w:t xml:space="preserve">at og prosentsatsirnir broyttir. </w:t>
      </w:r>
    </w:p>
    <w:p w14:paraId="5FC7BB81" w14:textId="77777777" w:rsidR="003C2183" w:rsidRDefault="003C2183" w:rsidP="007865E4">
      <w:pPr>
        <w:spacing w:after="0"/>
        <w:jc w:val="both"/>
        <w:rPr>
          <w:i/>
          <w:iCs/>
        </w:rPr>
      </w:pPr>
    </w:p>
    <w:p w14:paraId="79A0B3A2" w14:textId="765BEEA3" w:rsidR="007865E4" w:rsidRPr="00CD4004" w:rsidRDefault="007865E4" w:rsidP="007865E4">
      <w:pPr>
        <w:spacing w:after="0"/>
        <w:jc w:val="both"/>
        <w:rPr>
          <w:i/>
          <w:iCs/>
        </w:rPr>
      </w:pPr>
      <w:r w:rsidRPr="00CD4004">
        <w:rPr>
          <w:i/>
          <w:iCs/>
        </w:rPr>
        <w:t>Gamla skipanin – galdandi lóg</w:t>
      </w:r>
    </w:p>
    <w:p w14:paraId="25183C73" w14:textId="77777777" w:rsidR="007865E4" w:rsidRDefault="007865E4" w:rsidP="007E2AF3">
      <w:pPr>
        <w:pStyle w:val="Listeafsnit"/>
        <w:numPr>
          <w:ilvl w:val="0"/>
          <w:numId w:val="12"/>
        </w:numPr>
        <w:spacing w:after="0"/>
        <w:jc w:val="both"/>
      </w:pPr>
      <w:r>
        <w:t>Er prísurin 36 kr. kilo ella hægri, er gjaldið 5%.</w:t>
      </w:r>
    </w:p>
    <w:p w14:paraId="2DD3BF27" w14:textId="77777777" w:rsidR="007865E4" w:rsidRDefault="007865E4" w:rsidP="007E2AF3">
      <w:pPr>
        <w:pStyle w:val="Listeafsnit"/>
        <w:numPr>
          <w:ilvl w:val="0"/>
          <w:numId w:val="12"/>
        </w:numPr>
        <w:spacing w:after="0"/>
        <w:jc w:val="both"/>
      </w:pPr>
      <w:r>
        <w:t>Er prísurin millum 32 kr. og 36 kr. kilo, er gjaldið 2,5%.</w:t>
      </w:r>
    </w:p>
    <w:p w14:paraId="2F58F790" w14:textId="77777777" w:rsidR="007865E4" w:rsidRDefault="007865E4" w:rsidP="007E2AF3">
      <w:pPr>
        <w:pStyle w:val="Listeafsnit"/>
        <w:numPr>
          <w:ilvl w:val="0"/>
          <w:numId w:val="12"/>
        </w:numPr>
        <w:spacing w:after="0"/>
        <w:jc w:val="both"/>
      </w:pPr>
      <w:r>
        <w:t>Er prísurin lægri enn 32 kr. kilo, er gjaldið 0,5%.</w:t>
      </w:r>
    </w:p>
    <w:p w14:paraId="031E123A" w14:textId="77777777" w:rsidR="007865E4" w:rsidRDefault="007865E4" w:rsidP="007865E4">
      <w:pPr>
        <w:spacing w:after="0"/>
        <w:jc w:val="both"/>
      </w:pPr>
    </w:p>
    <w:p w14:paraId="33ADF66A" w14:textId="77777777" w:rsidR="007865E4" w:rsidRPr="006E393B" w:rsidRDefault="007865E4" w:rsidP="007865E4">
      <w:pPr>
        <w:spacing w:after="0"/>
        <w:jc w:val="both"/>
        <w:rPr>
          <w:b/>
          <w:bCs/>
          <w:i/>
          <w:iCs/>
        </w:rPr>
      </w:pPr>
      <w:r w:rsidRPr="00440700">
        <w:rPr>
          <w:b/>
          <w:bCs/>
          <w:i/>
          <w:iCs/>
        </w:rPr>
        <w:t>Nýggja skipanin - lógaruppskotið</w:t>
      </w:r>
    </w:p>
    <w:p w14:paraId="2FE15D8A" w14:textId="6B364408" w:rsidR="001F30EB" w:rsidRDefault="001F30EB" w:rsidP="001F30EB">
      <w:r>
        <w:t>P er miðal altjóða marknaðarprísur</w:t>
      </w:r>
      <w:r w:rsidR="00EF329C">
        <w:t>in</w:t>
      </w:r>
      <w:r>
        <w:t xml:space="preserve"> í DKK pr. kg., og K er</w:t>
      </w:r>
      <w:r w:rsidR="00EF329C">
        <w:t xml:space="preserve"> miðal</w:t>
      </w:r>
      <w:r>
        <w:t xml:space="preserve"> framleiðslukostnaðurin í DKK pr. kg.</w:t>
      </w:r>
    </w:p>
    <w:p w14:paraId="6D40DB16" w14:textId="77777777" w:rsidR="00737601" w:rsidRDefault="00737601" w:rsidP="00737601">
      <w:pPr>
        <w:pStyle w:val="Listeafsnit"/>
        <w:numPr>
          <w:ilvl w:val="0"/>
          <w:numId w:val="15"/>
        </w:numPr>
      </w:pPr>
      <w:r>
        <w:lastRenderedPageBreak/>
        <w:t>Er P minni enn K, er gjaldið 0,5%.</w:t>
      </w:r>
    </w:p>
    <w:p w14:paraId="6C21D858" w14:textId="77777777" w:rsidR="00737601" w:rsidRDefault="00737601" w:rsidP="00737601">
      <w:pPr>
        <w:pStyle w:val="Listeafsnit"/>
        <w:numPr>
          <w:ilvl w:val="0"/>
          <w:numId w:val="15"/>
        </w:numPr>
      </w:pPr>
      <w:r>
        <w:t>Er P hægri enn ella hin sami sum K, men minni enn K pluss 5 kr., er gjaldið 2,5%.</w:t>
      </w:r>
    </w:p>
    <w:p w14:paraId="6975A3D3" w14:textId="77777777" w:rsidR="00737601" w:rsidRDefault="00737601" w:rsidP="00737601">
      <w:pPr>
        <w:pStyle w:val="Listeafsnit"/>
        <w:numPr>
          <w:ilvl w:val="0"/>
          <w:numId w:val="15"/>
        </w:numPr>
      </w:pPr>
      <w:r>
        <w:t xml:space="preserve">Er P hægri enn ella hin sami sum K pluss 5 kr., men minni enn K pluss 15 kr., er gjaldið 5,0%. </w:t>
      </w:r>
    </w:p>
    <w:p w14:paraId="611AB93B" w14:textId="77777777" w:rsidR="00737601" w:rsidRDefault="00737601" w:rsidP="00737601">
      <w:pPr>
        <w:pStyle w:val="Listeafsnit"/>
        <w:numPr>
          <w:ilvl w:val="0"/>
          <w:numId w:val="15"/>
        </w:numPr>
      </w:pPr>
      <w:r>
        <w:t>Er P hægri enn ella hin sami sum K pluss 15 kr., men minni enn K pluss 20 kr., er gjaldið 7,5%.</w:t>
      </w:r>
    </w:p>
    <w:p w14:paraId="5940F5A2" w14:textId="77777777" w:rsidR="00737601" w:rsidRDefault="00737601" w:rsidP="00737601">
      <w:pPr>
        <w:pStyle w:val="Listeafsnit"/>
        <w:numPr>
          <w:ilvl w:val="0"/>
          <w:numId w:val="15"/>
        </w:numPr>
      </w:pPr>
      <w:r>
        <w:t>Er P hægri enn ella hin sami sum K pluss 20 kr., men minni enn K pluss 25 kr., er gjaldið 10,0%.</w:t>
      </w:r>
    </w:p>
    <w:p w14:paraId="2C1C2297" w14:textId="77777777" w:rsidR="00737601" w:rsidRDefault="00737601" w:rsidP="00737601">
      <w:pPr>
        <w:pStyle w:val="Listeafsnit"/>
        <w:numPr>
          <w:ilvl w:val="0"/>
          <w:numId w:val="15"/>
        </w:numPr>
      </w:pPr>
      <w:r>
        <w:t>Er P hægri enn ella hin sami sum K pluss 25 kr., men minni enn K pluss 30 kr., er gjaldið 12,5%</w:t>
      </w:r>
    </w:p>
    <w:p w14:paraId="4E67D36C" w14:textId="77777777" w:rsidR="00737601" w:rsidRDefault="00737601" w:rsidP="00737601">
      <w:pPr>
        <w:pStyle w:val="Listeafsnit"/>
        <w:numPr>
          <w:ilvl w:val="0"/>
          <w:numId w:val="15"/>
        </w:numPr>
      </w:pPr>
      <w:r>
        <w:t>Er P hægri enn ella hin sami sum K pluss 30 kr., men minni enn K pluss 35 kr., er gjaldið 15,0%</w:t>
      </w:r>
    </w:p>
    <w:p w14:paraId="0026A48A" w14:textId="77777777" w:rsidR="00737601" w:rsidRDefault="00737601" w:rsidP="00737601">
      <w:pPr>
        <w:pStyle w:val="Listeafsnit"/>
        <w:numPr>
          <w:ilvl w:val="0"/>
          <w:numId w:val="15"/>
        </w:numPr>
      </w:pPr>
      <w:r>
        <w:t>Er P hægri enn ella hin sami sum K pluss 35 kr., men minni enn K pluss 40 kr., er gjaldið 17,5%</w:t>
      </w:r>
    </w:p>
    <w:p w14:paraId="6582EE7D" w14:textId="77777777" w:rsidR="00737601" w:rsidRDefault="00737601" w:rsidP="00737601">
      <w:pPr>
        <w:pStyle w:val="Listeafsnit"/>
        <w:numPr>
          <w:ilvl w:val="0"/>
          <w:numId w:val="15"/>
        </w:numPr>
      </w:pPr>
      <w:r>
        <w:t>Er P hægri enn ella hin sami sum K pluss 40 kr., er gjaldið 20,0%.</w:t>
      </w:r>
    </w:p>
    <w:p w14:paraId="2ABB4488" w14:textId="77777777" w:rsidR="00737601" w:rsidRDefault="00737601" w:rsidP="001F30EB">
      <w:pPr>
        <w:spacing w:after="0"/>
        <w:jc w:val="both"/>
      </w:pPr>
    </w:p>
    <w:p w14:paraId="14545607" w14:textId="61F2E1EF" w:rsidR="0007728E" w:rsidRPr="00E129F4" w:rsidRDefault="00E34EF1" w:rsidP="001F30EB">
      <w:pPr>
        <w:spacing w:after="0"/>
        <w:jc w:val="both"/>
        <w:rPr>
          <w:color w:val="000000" w:themeColor="text1"/>
        </w:rPr>
      </w:pPr>
      <w:r w:rsidRPr="00E129F4">
        <w:rPr>
          <w:color w:val="000000" w:themeColor="text1"/>
        </w:rPr>
        <w:t>Talvan niðanfyri</w:t>
      </w:r>
      <w:r w:rsidR="00161659" w:rsidRPr="00E129F4">
        <w:rPr>
          <w:color w:val="000000" w:themeColor="text1"/>
        </w:rPr>
        <w:t xml:space="preserve"> er dømi</w:t>
      </w:r>
      <w:r w:rsidR="00EA13A3" w:rsidRPr="00E129F4">
        <w:rPr>
          <w:color w:val="000000" w:themeColor="text1"/>
        </w:rPr>
        <w:t>,</w:t>
      </w:r>
      <w:r w:rsidR="00161659" w:rsidRPr="00E129F4">
        <w:rPr>
          <w:color w:val="000000" w:themeColor="text1"/>
        </w:rPr>
        <w:t xml:space="preserve"> ið</w:t>
      </w:r>
      <w:r w:rsidRPr="00E129F4">
        <w:rPr>
          <w:color w:val="000000" w:themeColor="text1"/>
        </w:rPr>
        <w:t xml:space="preserve"> vísir gjaldið treytað av altjóða marknaðarprísinum, tá framleiðslukostnaðurin, K</w:t>
      </w:r>
      <w:r w:rsidRPr="00270510">
        <w:rPr>
          <w:color w:val="000000" w:themeColor="text1"/>
        </w:rPr>
        <w:t>, er 39,15</w:t>
      </w:r>
      <w:r w:rsidRPr="00E129F4">
        <w:rPr>
          <w:color w:val="000000" w:themeColor="text1"/>
        </w:rPr>
        <w:t xml:space="preserve"> kr.  </w:t>
      </w:r>
    </w:p>
    <w:p w14:paraId="42431195" w14:textId="7307A83C" w:rsidR="00E34EF1" w:rsidRDefault="00E34EF1" w:rsidP="001F30EB">
      <w:pPr>
        <w:spacing w:after="0"/>
        <w:jc w:val="both"/>
      </w:pPr>
    </w:p>
    <w:tbl>
      <w:tblPr>
        <w:tblStyle w:val="Tabel-Gitter"/>
        <w:tblW w:w="0" w:type="auto"/>
        <w:tblInd w:w="0" w:type="dxa"/>
        <w:tblLook w:val="04A0" w:firstRow="1" w:lastRow="0" w:firstColumn="1" w:lastColumn="0" w:noHBand="0" w:noVBand="1"/>
      </w:tblPr>
      <w:tblGrid>
        <w:gridCol w:w="3580"/>
        <w:gridCol w:w="2800"/>
        <w:gridCol w:w="940"/>
      </w:tblGrid>
      <w:tr w:rsidR="008C7818" w:rsidRPr="008C7818" w14:paraId="4D02F90A" w14:textId="77777777" w:rsidTr="008C7818">
        <w:trPr>
          <w:trHeight w:val="300"/>
        </w:trPr>
        <w:tc>
          <w:tcPr>
            <w:tcW w:w="3580" w:type="dxa"/>
            <w:noWrap/>
            <w:hideMark/>
          </w:tcPr>
          <w:p w14:paraId="49821EFA" w14:textId="77777777" w:rsidR="008C7818" w:rsidRPr="008C7818" w:rsidRDefault="008C7818" w:rsidP="008C7818">
            <w:pPr>
              <w:spacing w:after="0"/>
              <w:jc w:val="both"/>
              <w:rPr>
                <w:rFonts w:ascii="Times New Roman" w:hAnsi="Times New Roman" w:cs="Times New Roman"/>
                <w:b/>
                <w:bCs/>
              </w:rPr>
            </w:pPr>
            <w:r w:rsidRPr="008C7818">
              <w:rPr>
                <w:rFonts w:ascii="Times New Roman" w:hAnsi="Times New Roman" w:cs="Times New Roman"/>
                <w:b/>
                <w:bCs/>
              </w:rPr>
              <w:t xml:space="preserve">Prísur </w:t>
            </w:r>
          </w:p>
        </w:tc>
        <w:tc>
          <w:tcPr>
            <w:tcW w:w="2800" w:type="dxa"/>
            <w:noWrap/>
            <w:hideMark/>
          </w:tcPr>
          <w:p w14:paraId="1FEB414D" w14:textId="77777777" w:rsidR="008C7818" w:rsidRPr="008C7818" w:rsidRDefault="008C7818" w:rsidP="008C7818">
            <w:pPr>
              <w:spacing w:after="0"/>
              <w:jc w:val="both"/>
              <w:rPr>
                <w:rFonts w:ascii="Times New Roman" w:hAnsi="Times New Roman" w:cs="Times New Roman"/>
                <w:b/>
                <w:bCs/>
              </w:rPr>
            </w:pPr>
            <w:r w:rsidRPr="008C7818">
              <w:rPr>
                <w:rFonts w:ascii="Times New Roman" w:hAnsi="Times New Roman" w:cs="Times New Roman"/>
                <w:b/>
                <w:bCs/>
              </w:rPr>
              <w:t> </w:t>
            </w:r>
          </w:p>
        </w:tc>
        <w:tc>
          <w:tcPr>
            <w:tcW w:w="940" w:type="dxa"/>
            <w:noWrap/>
            <w:hideMark/>
          </w:tcPr>
          <w:p w14:paraId="1F34F0B4" w14:textId="77777777" w:rsidR="008C7818" w:rsidRPr="008C7818" w:rsidRDefault="008C7818" w:rsidP="008C7818">
            <w:pPr>
              <w:spacing w:after="0"/>
              <w:jc w:val="both"/>
              <w:rPr>
                <w:rFonts w:ascii="Times New Roman" w:hAnsi="Times New Roman" w:cs="Times New Roman"/>
                <w:b/>
                <w:bCs/>
              </w:rPr>
            </w:pPr>
            <w:r w:rsidRPr="008C7818">
              <w:rPr>
                <w:rFonts w:ascii="Times New Roman" w:hAnsi="Times New Roman" w:cs="Times New Roman"/>
                <w:b/>
                <w:bCs/>
              </w:rPr>
              <w:t>Gjald</w:t>
            </w:r>
          </w:p>
        </w:tc>
      </w:tr>
      <w:tr w:rsidR="008C7818" w:rsidRPr="008C7818" w14:paraId="3D8444AF" w14:textId="77777777" w:rsidTr="008C7818">
        <w:trPr>
          <w:trHeight w:val="315"/>
        </w:trPr>
        <w:tc>
          <w:tcPr>
            <w:tcW w:w="3580" w:type="dxa"/>
            <w:noWrap/>
            <w:hideMark/>
          </w:tcPr>
          <w:p w14:paraId="0618D1B3"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 xml:space="preserve">P&lt;K </w:t>
            </w:r>
          </w:p>
        </w:tc>
        <w:tc>
          <w:tcPr>
            <w:tcW w:w="2800" w:type="dxa"/>
            <w:noWrap/>
            <w:hideMark/>
          </w:tcPr>
          <w:p w14:paraId="01316412"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b/>
                <w:bCs/>
              </w:rPr>
              <w:t>P</w:t>
            </w:r>
            <w:r w:rsidRPr="008C7818">
              <w:rPr>
                <w:rFonts w:ascii="Times New Roman" w:hAnsi="Times New Roman" w:cs="Times New Roman"/>
              </w:rPr>
              <w:t xml:space="preserve"> &lt; 39,15 kr.</w:t>
            </w:r>
          </w:p>
        </w:tc>
        <w:tc>
          <w:tcPr>
            <w:tcW w:w="940" w:type="dxa"/>
            <w:noWrap/>
            <w:hideMark/>
          </w:tcPr>
          <w:p w14:paraId="5ED8C82D"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0,5%</w:t>
            </w:r>
          </w:p>
        </w:tc>
      </w:tr>
      <w:tr w:rsidR="008C7818" w:rsidRPr="008C7818" w14:paraId="336E6F20" w14:textId="77777777" w:rsidTr="008C7818">
        <w:trPr>
          <w:trHeight w:val="315"/>
        </w:trPr>
        <w:tc>
          <w:tcPr>
            <w:tcW w:w="3580" w:type="dxa"/>
            <w:noWrap/>
            <w:hideMark/>
          </w:tcPr>
          <w:p w14:paraId="164BC6D1"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K ≤ P &lt; K+5</w:t>
            </w:r>
          </w:p>
        </w:tc>
        <w:tc>
          <w:tcPr>
            <w:tcW w:w="2800" w:type="dxa"/>
            <w:noWrap/>
            <w:hideMark/>
          </w:tcPr>
          <w:p w14:paraId="74170036"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 xml:space="preserve">39,15 kr. ≤ </w:t>
            </w:r>
            <w:r w:rsidRPr="008C7818">
              <w:rPr>
                <w:rFonts w:ascii="Times New Roman" w:hAnsi="Times New Roman" w:cs="Times New Roman"/>
                <w:b/>
                <w:bCs/>
              </w:rPr>
              <w:t>P</w:t>
            </w:r>
            <w:r w:rsidRPr="008C7818">
              <w:rPr>
                <w:rFonts w:ascii="Times New Roman" w:hAnsi="Times New Roman" w:cs="Times New Roman"/>
              </w:rPr>
              <w:t xml:space="preserve"> &lt; 44,15 kr.</w:t>
            </w:r>
          </w:p>
        </w:tc>
        <w:tc>
          <w:tcPr>
            <w:tcW w:w="940" w:type="dxa"/>
            <w:noWrap/>
            <w:hideMark/>
          </w:tcPr>
          <w:p w14:paraId="317011FA"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2,5%</w:t>
            </w:r>
          </w:p>
        </w:tc>
      </w:tr>
      <w:tr w:rsidR="008C7818" w:rsidRPr="008C7818" w14:paraId="6DD4AF15" w14:textId="77777777" w:rsidTr="008C7818">
        <w:trPr>
          <w:trHeight w:val="315"/>
        </w:trPr>
        <w:tc>
          <w:tcPr>
            <w:tcW w:w="3580" w:type="dxa"/>
            <w:noWrap/>
            <w:hideMark/>
          </w:tcPr>
          <w:p w14:paraId="2EA9E728"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K+5 ≤ P &lt; K+15</w:t>
            </w:r>
          </w:p>
        </w:tc>
        <w:tc>
          <w:tcPr>
            <w:tcW w:w="2800" w:type="dxa"/>
            <w:noWrap/>
            <w:hideMark/>
          </w:tcPr>
          <w:p w14:paraId="4715BCC7"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 xml:space="preserve">44,15 kr. ≤ </w:t>
            </w:r>
            <w:r w:rsidRPr="008C7818">
              <w:rPr>
                <w:rFonts w:ascii="Times New Roman" w:hAnsi="Times New Roman" w:cs="Times New Roman"/>
                <w:b/>
                <w:bCs/>
              </w:rPr>
              <w:t>P</w:t>
            </w:r>
            <w:r w:rsidRPr="008C7818">
              <w:rPr>
                <w:rFonts w:ascii="Times New Roman" w:hAnsi="Times New Roman" w:cs="Times New Roman"/>
              </w:rPr>
              <w:t xml:space="preserve"> &lt; 54,15 kr.</w:t>
            </w:r>
          </w:p>
        </w:tc>
        <w:tc>
          <w:tcPr>
            <w:tcW w:w="940" w:type="dxa"/>
            <w:noWrap/>
            <w:hideMark/>
          </w:tcPr>
          <w:p w14:paraId="27F7F091"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5,0%</w:t>
            </w:r>
          </w:p>
        </w:tc>
      </w:tr>
      <w:tr w:rsidR="008C7818" w:rsidRPr="008C7818" w14:paraId="30E93EEF" w14:textId="77777777" w:rsidTr="008C7818">
        <w:trPr>
          <w:trHeight w:val="300"/>
        </w:trPr>
        <w:tc>
          <w:tcPr>
            <w:tcW w:w="3580" w:type="dxa"/>
            <w:noWrap/>
            <w:hideMark/>
          </w:tcPr>
          <w:p w14:paraId="134DB29D"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K+15 ≤  P &lt; K+20</w:t>
            </w:r>
          </w:p>
        </w:tc>
        <w:tc>
          <w:tcPr>
            <w:tcW w:w="2800" w:type="dxa"/>
            <w:noWrap/>
            <w:hideMark/>
          </w:tcPr>
          <w:p w14:paraId="26C9FFC9"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 xml:space="preserve">54,15 kr. ≤  </w:t>
            </w:r>
            <w:r w:rsidRPr="008C7818">
              <w:rPr>
                <w:rFonts w:ascii="Times New Roman" w:hAnsi="Times New Roman" w:cs="Times New Roman"/>
                <w:b/>
                <w:bCs/>
              </w:rPr>
              <w:t>P</w:t>
            </w:r>
            <w:r w:rsidRPr="008C7818">
              <w:rPr>
                <w:rFonts w:ascii="Times New Roman" w:hAnsi="Times New Roman" w:cs="Times New Roman"/>
              </w:rPr>
              <w:t xml:space="preserve"> &lt; 59,15 kr.</w:t>
            </w:r>
          </w:p>
        </w:tc>
        <w:tc>
          <w:tcPr>
            <w:tcW w:w="940" w:type="dxa"/>
            <w:noWrap/>
            <w:hideMark/>
          </w:tcPr>
          <w:p w14:paraId="2E669830"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7,5%</w:t>
            </w:r>
          </w:p>
        </w:tc>
      </w:tr>
      <w:tr w:rsidR="008C7818" w:rsidRPr="008C7818" w14:paraId="1CC7E122" w14:textId="77777777" w:rsidTr="008C7818">
        <w:trPr>
          <w:trHeight w:val="315"/>
        </w:trPr>
        <w:tc>
          <w:tcPr>
            <w:tcW w:w="3580" w:type="dxa"/>
            <w:noWrap/>
            <w:hideMark/>
          </w:tcPr>
          <w:p w14:paraId="7F2013F6"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K+20 ≤  P &lt; K+25</w:t>
            </w:r>
          </w:p>
        </w:tc>
        <w:tc>
          <w:tcPr>
            <w:tcW w:w="2800" w:type="dxa"/>
            <w:noWrap/>
            <w:hideMark/>
          </w:tcPr>
          <w:p w14:paraId="0CAACCF7"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 xml:space="preserve">59,15 kr. ≤  </w:t>
            </w:r>
            <w:r w:rsidRPr="008C7818">
              <w:rPr>
                <w:rFonts w:ascii="Times New Roman" w:hAnsi="Times New Roman" w:cs="Times New Roman"/>
                <w:b/>
                <w:bCs/>
              </w:rPr>
              <w:t>P</w:t>
            </w:r>
            <w:r w:rsidRPr="008C7818">
              <w:rPr>
                <w:rFonts w:ascii="Times New Roman" w:hAnsi="Times New Roman" w:cs="Times New Roman"/>
              </w:rPr>
              <w:t xml:space="preserve"> &lt; 64,15 kr.</w:t>
            </w:r>
          </w:p>
        </w:tc>
        <w:tc>
          <w:tcPr>
            <w:tcW w:w="940" w:type="dxa"/>
            <w:noWrap/>
            <w:hideMark/>
          </w:tcPr>
          <w:p w14:paraId="0F85D84E"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10,0%</w:t>
            </w:r>
          </w:p>
        </w:tc>
      </w:tr>
      <w:tr w:rsidR="008C7818" w:rsidRPr="008C7818" w14:paraId="418B2EB6" w14:textId="77777777" w:rsidTr="008C7818">
        <w:trPr>
          <w:trHeight w:val="300"/>
        </w:trPr>
        <w:tc>
          <w:tcPr>
            <w:tcW w:w="3580" w:type="dxa"/>
            <w:noWrap/>
            <w:hideMark/>
          </w:tcPr>
          <w:p w14:paraId="3B14A30E"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K+25 ≤  P &lt; K+30</w:t>
            </w:r>
          </w:p>
        </w:tc>
        <w:tc>
          <w:tcPr>
            <w:tcW w:w="2800" w:type="dxa"/>
            <w:noWrap/>
            <w:hideMark/>
          </w:tcPr>
          <w:p w14:paraId="21C0116D"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 xml:space="preserve">64,15 kr. ≤  </w:t>
            </w:r>
            <w:r w:rsidRPr="008C7818">
              <w:rPr>
                <w:rFonts w:ascii="Times New Roman" w:hAnsi="Times New Roman" w:cs="Times New Roman"/>
                <w:b/>
                <w:bCs/>
              </w:rPr>
              <w:t>P</w:t>
            </w:r>
            <w:r w:rsidRPr="008C7818">
              <w:rPr>
                <w:rFonts w:ascii="Times New Roman" w:hAnsi="Times New Roman" w:cs="Times New Roman"/>
              </w:rPr>
              <w:t xml:space="preserve"> &lt; 69,15 kr.</w:t>
            </w:r>
          </w:p>
        </w:tc>
        <w:tc>
          <w:tcPr>
            <w:tcW w:w="940" w:type="dxa"/>
            <w:noWrap/>
            <w:hideMark/>
          </w:tcPr>
          <w:p w14:paraId="6069450F"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12,5%</w:t>
            </w:r>
          </w:p>
        </w:tc>
      </w:tr>
      <w:tr w:rsidR="008C7818" w:rsidRPr="008C7818" w14:paraId="06473DF6" w14:textId="77777777" w:rsidTr="008C7818">
        <w:trPr>
          <w:trHeight w:val="300"/>
        </w:trPr>
        <w:tc>
          <w:tcPr>
            <w:tcW w:w="3580" w:type="dxa"/>
            <w:noWrap/>
            <w:hideMark/>
          </w:tcPr>
          <w:p w14:paraId="138BC2ED"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K+30 ≤  P &lt; K+35</w:t>
            </w:r>
          </w:p>
        </w:tc>
        <w:tc>
          <w:tcPr>
            <w:tcW w:w="2800" w:type="dxa"/>
            <w:noWrap/>
            <w:hideMark/>
          </w:tcPr>
          <w:p w14:paraId="73C1CA86"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 xml:space="preserve">69,15 kr. ≤ </w:t>
            </w:r>
            <w:r w:rsidRPr="008C7818">
              <w:rPr>
                <w:rFonts w:ascii="Times New Roman" w:hAnsi="Times New Roman" w:cs="Times New Roman"/>
                <w:b/>
                <w:bCs/>
              </w:rPr>
              <w:t>P</w:t>
            </w:r>
            <w:r w:rsidRPr="008C7818">
              <w:rPr>
                <w:rFonts w:ascii="Times New Roman" w:hAnsi="Times New Roman" w:cs="Times New Roman"/>
              </w:rPr>
              <w:t xml:space="preserve"> &lt; 74,15 kr.</w:t>
            </w:r>
          </w:p>
        </w:tc>
        <w:tc>
          <w:tcPr>
            <w:tcW w:w="940" w:type="dxa"/>
            <w:noWrap/>
            <w:hideMark/>
          </w:tcPr>
          <w:p w14:paraId="6C835B02"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15,0%</w:t>
            </w:r>
          </w:p>
        </w:tc>
      </w:tr>
      <w:tr w:rsidR="008C7818" w:rsidRPr="008C7818" w14:paraId="6354AA59" w14:textId="77777777" w:rsidTr="008C7818">
        <w:trPr>
          <w:trHeight w:val="300"/>
        </w:trPr>
        <w:tc>
          <w:tcPr>
            <w:tcW w:w="3580" w:type="dxa"/>
            <w:noWrap/>
            <w:hideMark/>
          </w:tcPr>
          <w:p w14:paraId="7620BEEF"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K+35 ≤  P &lt; K+40</w:t>
            </w:r>
          </w:p>
        </w:tc>
        <w:tc>
          <w:tcPr>
            <w:tcW w:w="2800" w:type="dxa"/>
            <w:noWrap/>
            <w:hideMark/>
          </w:tcPr>
          <w:p w14:paraId="6149DC58"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 xml:space="preserve">74,15 kr. ≤ </w:t>
            </w:r>
            <w:r w:rsidRPr="008C7818">
              <w:rPr>
                <w:rFonts w:ascii="Times New Roman" w:hAnsi="Times New Roman" w:cs="Times New Roman"/>
                <w:b/>
                <w:bCs/>
              </w:rPr>
              <w:t>P</w:t>
            </w:r>
            <w:r w:rsidRPr="008C7818">
              <w:rPr>
                <w:rFonts w:ascii="Times New Roman" w:hAnsi="Times New Roman" w:cs="Times New Roman"/>
              </w:rPr>
              <w:t xml:space="preserve"> &lt; 79,15 kr.</w:t>
            </w:r>
          </w:p>
        </w:tc>
        <w:tc>
          <w:tcPr>
            <w:tcW w:w="940" w:type="dxa"/>
            <w:noWrap/>
            <w:hideMark/>
          </w:tcPr>
          <w:p w14:paraId="6997102E"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17,5%</w:t>
            </w:r>
          </w:p>
        </w:tc>
      </w:tr>
      <w:tr w:rsidR="008C7818" w:rsidRPr="008C7818" w14:paraId="28EF88B6" w14:textId="77777777" w:rsidTr="008C7818">
        <w:trPr>
          <w:trHeight w:val="300"/>
        </w:trPr>
        <w:tc>
          <w:tcPr>
            <w:tcW w:w="3580" w:type="dxa"/>
            <w:noWrap/>
            <w:hideMark/>
          </w:tcPr>
          <w:p w14:paraId="4217F8EA"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P≥K+40</w:t>
            </w:r>
          </w:p>
        </w:tc>
        <w:tc>
          <w:tcPr>
            <w:tcW w:w="2800" w:type="dxa"/>
            <w:noWrap/>
            <w:hideMark/>
          </w:tcPr>
          <w:p w14:paraId="2CB50805"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b/>
                <w:bCs/>
              </w:rPr>
              <w:t>P</w:t>
            </w:r>
            <w:r w:rsidRPr="008C7818">
              <w:rPr>
                <w:rFonts w:ascii="Times New Roman" w:hAnsi="Times New Roman" w:cs="Times New Roman"/>
              </w:rPr>
              <w:t xml:space="preserve"> ≥ 79,15 kr.</w:t>
            </w:r>
          </w:p>
        </w:tc>
        <w:tc>
          <w:tcPr>
            <w:tcW w:w="940" w:type="dxa"/>
            <w:noWrap/>
            <w:hideMark/>
          </w:tcPr>
          <w:p w14:paraId="38016795" w14:textId="77777777" w:rsidR="008C7818" w:rsidRPr="008C7818" w:rsidRDefault="008C7818" w:rsidP="008C7818">
            <w:pPr>
              <w:spacing w:after="0"/>
              <w:jc w:val="both"/>
              <w:rPr>
                <w:rFonts w:ascii="Times New Roman" w:hAnsi="Times New Roman" w:cs="Times New Roman"/>
              </w:rPr>
            </w:pPr>
            <w:r w:rsidRPr="008C7818">
              <w:rPr>
                <w:rFonts w:ascii="Times New Roman" w:hAnsi="Times New Roman" w:cs="Times New Roman"/>
              </w:rPr>
              <w:t>20,0%</w:t>
            </w:r>
          </w:p>
        </w:tc>
      </w:tr>
    </w:tbl>
    <w:p w14:paraId="7C446C7F" w14:textId="77777777" w:rsidR="008C7818" w:rsidRDefault="008C7818" w:rsidP="001F30EB">
      <w:pPr>
        <w:spacing w:after="0"/>
        <w:jc w:val="both"/>
      </w:pPr>
    </w:p>
    <w:p w14:paraId="1BEFD226" w14:textId="2F2BAB9B" w:rsidR="00810FD9" w:rsidRDefault="00810FD9" w:rsidP="00810FD9">
      <w:pPr>
        <w:spacing w:after="0"/>
        <w:jc w:val="both"/>
      </w:pPr>
      <w:r>
        <w:t>Í § 2, stk. 7</w:t>
      </w:r>
      <w:r w:rsidR="00A47B75">
        <w:t>,</w:t>
      </w:r>
      <w:r>
        <w:t xml:space="preserve"> í løgtingslógini um loyvisgjald á alivinnu er ásett, at tøkugjaldið fellur til gjaldingar í fýra gjøldum ávikavist 1. februar, 1. mai, 1. august og 1. oktober við gjaldfreist tann 20. í mánaðinum.</w:t>
      </w:r>
      <w:r w:rsidR="00497F7A">
        <w:t xml:space="preserve"> </w:t>
      </w:r>
    </w:p>
    <w:p w14:paraId="5A5DB785" w14:textId="77777777" w:rsidR="00810FD9" w:rsidRDefault="00810FD9" w:rsidP="00810FD9">
      <w:pPr>
        <w:spacing w:after="0"/>
        <w:jc w:val="both"/>
      </w:pPr>
    </w:p>
    <w:p w14:paraId="5856609A" w14:textId="77777777" w:rsidR="00810FD9" w:rsidRDefault="00810FD9" w:rsidP="00810FD9">
      <w:pPr>
        <w:spacing w:after="0"/>
        <w:jc w:val="both"/>
      </w:pPr>
      <w:r>
        <w:t xml:space="preserve">Endamálið við lógaruppskotinum er at rætta ein gamlan feil. Longu tá lógin varð samtykt á fyrsta sinni, var ætlanin, at gjaldingin av tøkugjaldinum skuldi gerast pr. ársfjórðing eins og við meirvirðisgjaldinum, t.e. at fjórða gjaldið skuldi fella til gjaldingar 1. november við gjaldfreist tann 20. í mánaðinum. Sostatt er talan um eina tekniska rætting viðvíkjandi rindanini av tøkugjaldinum. </w:t>
      </w:r>
    </w:p>
    <w:p w14:paraId="04C4D462" w14:textId="77777777" w:rsidR="00810FD9" w:rsidRDefault="00810FD9" w:rsidP="00810FD9">
      <w:pPr>
        <w:spacing w:after="0"/>
        <w:jc w:val="both"/>
      </w:pPr>
    </w:p>
    <w:p w14:paraId="00B134D8" w14:textId="13A6CEDA" w:rsidR="00810FD9" w:rsidRDefault="00C95B04" w:rsidP="00810FD9">
      <w:pPr>
        <w:spacing w:after="0"/>
        <w:jc w:val="both"/>
      </w:pPr>
      <w:r>
        <w:t>Í § 1, nr. 2, stk. 4</w:t>
      </w:r>
      <w:r w:rsidR="00A47B75">
        <w:t>,</w:t>
      </w:r>
      <w:r>
        <w:t xml:space="preserve"> í broytingaruppskotinum </w:t>
      </w:r>
      <w:r w:rsidR="00810FD9">
        <w:t>verður</w:t>
      </w:r>
      <w:r>
        <w:t xml:space="preserve"> skotið</w:t>
      </w:r>
      <w:r w:rsidR="00810FD9">
        <w:t xml:space="preserve"> upp, at fjórða árliga gjaldið skal fella til gjaldingar 1. november heldur enn 1. oktober. TAKS og alivinnan virka longu nú sum um gjaldfreistin er 1. november.</w:t>
      </w:r>
    </w:p>
    <w:p w14:paraId="4FE13FF8" w14:textId="77777777" w:rsidR="00433DB4" w:rsidRDefault="00433DB4" w:rsidP="00810FD9">
      <w:pPr>
        <w:spacing w:after="0"/>
        <w:jc w:val="both"/>
      </w:pPr>
    </w:p>
    <w:p w14:paraId="54CD1FE6" w14:textId="69AD8AED" w:rsidR="00810FD9" w:rsidRPr="00433DB4" w:rsidRDefault="00433DB4" w:rsidP="007865E4">
      <w:pPr>
        <w:spacing w:after="0"/>
        <w:jc w:val="both"/>
        <w:rPr>
          <w:b/>
          <w:bCs/>
        </w:rPr>
      </w:pPr>
      <w:r w:rsidRPr="00E05017">
        <w:rPr>
          <w:b/>
          <w:bCs/>
        </w:rPr>
        <w:t>Nr. 3</w:t>
      </w:r>
    </w:p>
    <w:p w14:paraId="58A3A9D2" w14:textId="1DE2A96B" w:rsidR="00D25585" w:rsidRPr="00D25585" w:rsidRDefault="00CA749E" w:rsidP="00790631">
      <w:pPr>
        <w:spacing w:after="0"/>
        <w:jc w:val="both"/>
      </w:pPr>
      <w:r w:rsidRPr="000F0B5B">
        <w:t xml:space="preserve">Í </w:t>
      </w:r>
      <w:r w:rsidR="000F0B5B" w:rsidRPr="000F0B5B">
        <w:t xml:space="preserve">§ </w:t>
      </w:r>
      <w:r w:rsidR="000F0B5B">
        <w:t>1</w:t>
      </w:r>
      <w:r w:rsidR="000F0B5B" w:rsidRPr="000F0B5B">
        <w:t>, nr. 3</w:t>
      </w:r>
      <w:r w:rsidR="00A47B75">
        <w:t>,</w:t>
      </w:r>
      <w:r w:rsidR="000F0B5B" w:rsidRPr="000F0B5B">
        <w:t xml:space="preserve"> verður skotið upp at seta inn nýggja § 2b. Sambært </w:t>
      </w:r>
      <w:r w:rsidR="00790631" w:rsidRPr="000F0B5B">
        <w:t xml:space="preserve">§ 1, nr. </w:t>
      </w:r>
      <w:r w:rsidR="000F0B5B" w:rsidRPr="000F0B5B">
        <w:t>3</w:t>
      </w:r>
      <w:r w:rsidR="00790631" w:rsidRPr="000F0B5B">
        <w:t xml:space="preserve">, stk. </w:t>
      </w:r>
      <w:r w:rsidR="000F0B5B" w:rsidRPr="000F0B5B">
        <w:t>1</w:t>
      </w:r>
      <w:r w:rsidR="00A47B75">
        <w:t>,</w:t>
      </w:r>
      <w:r w:rsidR="00790631" w:rsidRPr="000F0B5B">
        <w:t xml:space="preserve"> verður skotið</w:t>
      </w:r>
      <w:r w:rsidR="00790631">
        <w:t xml:space="preserve"> upp, at</w:t>
      </w:r>
      <w:r w:rsidR="003910D2">
        <w:t xml:space="preserve"> upp til</w:t>
      </w:r>
      <w:r w:rsidR="00790631">
        <w:t xml:space="preserve"> 10% av inntøkunum frá gjaldinum f</w:t>
      </w:r>
      <w:r w:rsidR="00AA5249">
        <w:t>a</w:t>
      </w:r>
      <w:r w:rsidR="00790631">
        <w:t>ll</w:t>
      </w:r>
      <w:r w:rsidR="000F0B5B">
        <w:t>a</w:t>
      </w:r>
      <w:r w:rsidR="00790631">
        <w:t xml:space="preserve"> til kommunurnar</w:t>
      </w:r>
      <w:r w:rsidR="003910D2">
        <w:t xml:space="preserve">, tó í minsta lagi 25 </w:t>
      </w:r>
      <w:r w:rsidR="003910D2">
        <w:lastRenderedPageBreak/>
        <w:t>mió. kr. og í mesta lagi 5</w:t>
      </w:r>
      <w:r w:rsidR="003F2FE4">
        <w:t>0</w:t>
      </w:r>
      <w:r w:rsidR="003910D2">
        <w:t xml:space="preserve"> mió. kr</w:t>
      </w:r>
      <w:r w:rsidR="00790631">
        <w:t xml:space="preserve">. </w:t>
      </w:r>
      <w:r w:rsidR="000F0B5B">
        <w:t xml:space="preserve">Samstundis verður </w:t>
      </w:r>
      <w:r w:rsidR="002C3005">
        <w:t>við</w:t>
      </w:r>
      <w:r w:rsidR="000F0B5B">
        <w:t xml:space="preserve"> § 1, nr. 3, stk. </w:t>
      </w:r>
      <w:r w:rsidR="005A4033">
        <w:t>2</w:t>
      </w:r>
      <w:r w:rsidR="00A47B75">
        <w:t>,</w:t>
      </w:r>
      <w:r w:rsidR="006C06F1">
        <w:t xml:space="preserve"> í broytingaruppskotinum</w:t>
      </w:r>
      <w:r w:rsidR="000F0B5B">
        <w:t xml:space="preserve"> </w:t>
      </w:r>
      <w:r w:rsidR="00786827">
        <w:t>ásett</w:t>
      </w:r>
      <w:r w:rsidR="00754793">
        <w:t>,</w:t>
      </w:r>
      <w:r w:rsidR="00786827">
        <w:t xml:space="preserve"> at </w:t>
      </w:r>
      <w:r w:rsidR="000F0B5B">
        <w:t>landsstýrisma</w:t>
      </w:r>
      <w:r w:rsidR="00505B77">
        <w:t>ðurin</w:t>
      </w:r>
      <w:r w:rsidR="00754793">
        <w:t xml:space="preserve"> í fíggjarmálum</w:t>
      </w:r>
      <w:r w:rsidR="00505B77">
        <w:t xml:space="preserve"> </w:t>
      </w:r>
      <w:r w:rsidR="000F0B5B">
        <w:t>í</w:t>
      </w:r>
      <w:r w:rsidR="00754793">
        <w:t xml:space="preserve"> kunngerð </w:t>
      </w:r>
      <w:r w:rsidR="00754793" w:rsidRPr="00D25585">
        <w:t>ásetur</w:t>
      </w:r>
      <w:r w:rsidR="006C06F1" w:rsidRPr="00D25585">
        <w:t>,</w:t>
      </w:r>
      <w:r w:rsidR="000F0B5B" w:rsidRPr="00D25585">
        <w:t xml:space="preserve"> hvussu inntøkurnar frá gjaldinum skulu verða býttar.</w:t>
      </w:r>
      <w:r w:rsidR="000006FE" w:rsidRPr="00D25585">
        <w:t xml:space="preserve"> </w:t>
      </w:r>
      <w:r w:rsidR="00AB6843" w:rsidRPr="00AB6843">
        <w:t>Upphæddin verður ein liður í eini endurskoðari fígging av kommunalum uppgávum frá 2024 at rokna.</w:t>
      </w:r>
    </w:p>
    <w:p w14:paraId="332972D1" w14:textId="2BE7BB84" w:rsidR="00CA26CB" w:rsidRDefault="00CA26CB" w:rsidP="00790631">
      <w:pPr>
        <w:spacing w:after="0"/>
        <w:jc w:val="both"/>
      </w:pPr>
    </w:p>
    <w:p w14:paraId="6BE084CD" w14:textId="45072D3F" w:rsidR="003C2183" w:rsidRDefault="00D41BAE" w:rsidP="007865E4">
      <w:pPr>
        <w:spacing w:after="0"/>
        <w:jc w:val="both"/>
      </w:pPr>
      <w:r>
        <w:t xml:space="preserve">Harumframt er ætlanin, at ein partur av inntøkunum frá tøkugjaldinum, t.d. 1%, fer til at raðfesta gransking til frama fyri aling í Føroyum. </w:t>
      </w:r>
      <w:r w:rsidR="003F2FE4">
        <w:t>E</w:t>
      </w:r>
      <w:r w:rsidR="00790631">
        <w:t>ndamálið er at st</w:t>
      </w:r>
      <w:r w:rsidR="00FD669A">
        <w:t>uðla</w:t>
      </w:r>
      <w:r w:rsidR="00790631">
        <w:t xml:space="preserve"> </w:t>
      </w:r>
      <w:r w:rsidR="00A47B75">
        <w:t xml:space="preserve">upp </w:t>
      </w:r>
      <w:r w:rsidR="00790631">
        <w:t xml:space="preserve">undir </w:t>
      </w:r>
      <w:r w:rsidR="00FD669A">
        <w:t xml:space="preserve">granskingarvirksemið </w:t>
      </w:r>
      <w:r w:rsidR="00CA26CB">
        <w:t xml:space="preserve">á </w:t>
      </w:r>
      <w:r w:rsidR="00790631">
        <w:t>aliøki</w:t>
      </w:r>
      <w:r w:rsidR="00E532E9">
        <w:t>num</w:t>
      </w:r>
      <w:r w:rsidR="00FD669A">
        <w:t xml:space="preserve"> í breiðari merking. Tað kundi t.d.</w:t>
      </w:r>
      <w:r w:rsidR="00161659">
        <w:t xml:space="preserve"> </w:t>
      </w:r>
      <w:r w:rsidR="00FD669A">
        <w:t>verið ávirkan frá aling á havumhvørvi, laksalús ella aling til havs o.s.fr.</w:t>
      </w:r>
      <w:r w:rsidR="00E532E9">
        <w:t xml:space="preserve"> </w:t>
      </w:r>
      <w:r w:rsidR="00E522D8">
        <w:t>Hugsanin er, at g</w:t>
      </w:r>
      <w:r w:rsidR="00E532E9">
        <w:t>ranskingarráðið umsitur p</w:t>
      </w:r>
      <w:r w:rsidR="00FD669A">
        <w:t>ening</w:t>
      </w:r>
      <w:r w:rsidR="00E532E9">
        <w:t>in</w:t>
      </w:r>
      <w:r w:rsidR="000E132A">
        <w:t>,</w:t>
      </w:r>
      <w:r w:rsidR="00E532E9">
        <w:t xml:space="preserve"> og tekur støðu til</w:t>
      </w:r>
      <w:r w:rsidR="000E132A">
        <w:t>,</w:t>
      </w:r>
      <w:r w:rsidR="00E532E9">
        <w:t xml:space="preserve"> hvørjar granskingar</w:t>
      </w:r>
      <w:r w:rsidR="000E132A">
        <w:t>verk</w:t>
      </w:r>
      <w:r w:rsidR="00E532E9">
        <w:t>ætlanir kunnu fáa stuðul.</w:t>
      </w:r>
      <w:r w:rsidR="006C77FF">
        <w:t xml:space="preserve"> Sambært § 11</w:t>
      </w:r>
      <w:r w:rsidR="00161659">
        <w:t xml:space="preserve"> í</w:t>
      </w:r>
      <w:r w:rsidR="006C77FF">
        <w:t xml:space="preserve"> løgtingslóg um ráðgeving og stuðul til gransking, menning og nýskapan</w:t>
      </w:r>
      <w:r w:rsidR="00161659">
        <w:t>,</w:t>
      </w:r>
      <w:r w:rsidR="006C77FF">
        <w:t xml:space="preserve"> kunnu allar stuðulsskipanir, sum hava til endamáls at veita fíggjarligan stuðul til gransking, menning og nýskapan, verða lagdar til fyrisitingina, smbr. § 15 í løgtingslógini. </w:t>
      </w:r>
    </w:p>
    <w:p w14:paraId="153BFFD3" w14:textId="68101246" w:rsidR="00C10253" w:rsidRDefault="00C10253" w:rsidP="007865E4">
      <w:pPr>
        <w:spacing w:after="0"/>
        <w:jc w:val="both"/>
      </w:pPr>
    </w:p>
    <w:p w14:paraId="40689DBD" w14:textId="7580D39E" w:rsidR="00004D27" w:rsidRDefault="00BE7FEA" w:rsidP="007865E4">
      <w:pPr>
        <w:spacing w:after="0"/>
        <w:jc w:val="both"/>
      </w:pPr>
      <w:r>
        <w:t>Granskingarráðið heldur peningin, ið er tilskilaður frá tøkugjaldinum</w:t>
      </w:r>
      <w:r w:rsidR="00004D27">
        <w:t>,</w:t>
      </w:r>
      <w:r>
        <w:t xml:space="preserve"> atskildan frá øðrum játtanum</w:t>
      </w:r>
      <w:r w:rsidR="00864B33">
        <w:t xml:space="preserve">. </w:t>
      </w:r>
    </w:p>
    <w:p w14:paraId="151AAE3C" w14:textId="3B9ADE95" w:rsidR="004619DB" w:rsidRDefault="004619DB" w:rsidP="004619DB">
      <w:pPr>
        <w:spacing w:after="0"/>
        <w:jc w:val="both"/>
      </w:pPr>
    </w:p>
    <w:p w14:paraId="3F59C91B" w14:textId="77777777" w:rsidR="004619DB" w:rsidRDefault="004619DB" w:rsidP="004619DB">
      <w:pPr>
        <w:spacing w:after="0"/>
        <w:jc w:val="both"/>
        <w:rPr>
          <w:b/>
        </w:rPr>
      </w:pPr>
    </w:p>
    <w:p w14:paraId="3BC1A10E" w14:textId="42D0D0D2" w:rsidR="00E60021" w:rsidRPr="000A129D" w:rsidRDefault="00E60021" w:rsidP="000A129D">
      <w:pPr>
        <w:spacing w:after="0"/>
        <w:jc w:val="both"/>
        <w:rPr>
          <w:b/>
        </w:rPr>
      </w:pPr>
      <w:r w:rsidRPr="000A129D">
        <w:rPr>
          <w:b/>
        </w:rPr>
        <w:t>Til § 2</w:t>
      </w:r>
    </w:p>
    <w:p w14:paraId="25072D6D" w14:textId="2EFC8AF8" w:rsidR="00E60021" w:rsidRPr="000A129D" w:rsidRDefault="009F5D0C" w:rsidP="000A129D">
      <w:pPr>
        <w:spacing w:after="0"/>
        <w:jc w:val="both"/>
      </w:pPr>
      <w:r w:rsidRPr="009F5D0C">
        <w:t xml:space="preserve">Eftir uppskotinum skal lógin fáa gildi </w:t>
      </w:r>
      <w:r w:rsidR="00575310">
        <w:t>1. august</w:t>
      </w:r>
      <w:r w:rsidRPr="009F5D0C">
        <w:t xml:space="preserve"> 2023.</w:t>
      </w:r>
      <w:r w:rsidR="003700CB">
        <w:t xml:space="preserve"> </w:t>
      </w:r>
      <w:r w:rsidR="00D35D47">
        <w:t>§ 2b, stk. 1-</w:t>
      </w:r>
      <w:r w:rsidR="00E522D8">
        <w:t>2</w:t>
      </w:r>
      <w:r w:rsidR="00A47B75">
        <w:t>,</w:t>
      </w:r>
      <w:r w:rsidR="00D35D47">
        <w:t xml:space="preserve"> verð</w:t>
      </w:r>
      <w:r w:rsidR="00E522D8">
        <w:t>ur</w:t>
      </w:r>
      <w:r w:rsidR="00D35D47">
        <w:t xml:space="preserve"> tó sett í gildi 1. </w:t>
      </w:r>
      <w:r w:rsidR="000060BB">
        <w:t>j</w:t>
      </w:r>
      <w:r w:rsidR="00D35D47">
        <w:t>anuar 2024</w:t>
      </w:r>
      <w:r w:rsidR="009428AA">
        <w:t>.</w:t>
      </w:r>
    </w:p>
    <w:p w14:paraId="1F6682E5" w14:textId="77777777" w:rsidR="00E60021" w:rsidRPr="000A129D" w:rsidRDefault="00E60021" w:rsidP="000A129D">
      <w:pPr>
        <w:spacing w:after="0"/>
        <w:jc w:val="both"/>
      </w:pPr>
    </w:p>
    <w:p w14:paraId="3AB84BEE" w14:textId="77777777" w:rsidR="00E60021" w:rsidRPr="000A129D" w:rsidRDefault="00E60021" w:rsidP="000A129D">
      <w:pPr>
        <w:spacing w:after="0"/>
        <w:jc w:val="both"/>
      </w:pPr>
    </w:p>
    <w:p w14:paraId="4B45C0E7" w14:textId="77777777" w:rsidR="00E60021" w:rsidRPr="000A129D" w:rsidRDefault="00E60021" w:rsidP="000A129D">
      <w:pPr>
        <w:spacing w:after="0"/>
        <w:jc w:val="both"/>
      </w:pPr>
    </w:p>
    <w:p w14:paraId="4E0636C8" w14:textId="77777777" w:rsidR="00E60021" w:rsidRPr="000A129D" w:rsidRDefault="00E60021" w:rsidP="000A129D">
      <w:pPr>
        <w:spacing w:after="0"/>
        <w:jc w:val="both"/>
      </w:pPr>
    </w:p>
    <w:p w14:paraId="5F7080D4" w14:textId="77777777" w:rsidR="00E60021" w:rsidRPr="000A129D" w:rsidRDefault="00E60021" w:rsidP="000A129D">
      <w:pPr>
        <w:spacing w:after="0"/>
      </w:pPr>
    </w:p>
    <w:p w14:paraId="7A0B2D9D" w14:textId="296C29E8" w:rsidR="00E60021" w:rsidRPr="000A129D" w:rsidRDefault="00C6334A" w:rsidP="000A129D">
      <w:pPr>
        <w:spacing w:after="0"/>
        <w:jc w:val="center"/>
      </w:pPr>
      <w:r>
        <w:t>Uttanríkis- og vinnumálaráðið</w:t>
      </w:r>
      <w:r w:rsidR="00E60021" w:rsidRPr="000A129D">
        <w:t>,</w:t>
      </w:r>
      <w:r w:rsidR="00283D03">
        <w:t xml:space="preserve"> </w:t>
      </w:r>
      <w:r w:rsidR="00E522D8">
        <w:t>7</w:t>
      </w:r>
      <w:r w:rsidR="004C385C">
        <w:t>. mars</w:t>
      </w:r>
      <w:r>
        <w:t xml:space="preserve"> 2023</w:t>
      </w:r>
    </w:p>
    <w:p w14:paraId="19E1CFC2" w14:textId="77777777" w:rsidR="00E60021" w:rsidRPr="000A129D" w:rsidRDefault="00E60021" w:rsidP="000A129D">
      <w:pPr>
        <w:spacing w:after="0"/>
        <w:jc w:val="center"/>
      </w:pPr>
    </w:p>
    <w:p w14:paraId="06EBF25D" w14:textId="3BEAC83E" w:rsidR="00E60021" w:rsidRPr="000A129D" w:rsidRDefault="00C6334A" w:rsidP="000A129D">
      <w:pPr>
        <w:spacing w:after="0"/>
        <w:jc w:val="center"/>
        <w:rPr>
          <w:b/>
        </w:rPr>
      </w:pPr>
      <w:r>
        <w:rPr>
          <w:b/>
        </w:rPr>
        <w:t xml:space="preserve">Høgni Hoydal </w:t>
      </w:r>
    </w:p>
    <w:p w14:paraId="24BD85B2" w14:textId="77777777" w:rsidR="00E60021" w:rsidRPr="000A129D" w:rsidRDefault="00E60021" w:rsidP="000A129D">
      <w:pPr>
        <w:spacing w:after="0"/>
        <w:jc w:val="center"/>
      </w:pPr>
      <w:r w:rsidRPr="000A129D">
        <w:t>landsstýrismaður</w:t>
      </w:r>
    </w:p>
    <w:p w14:paraId="15BEC214" w14:textId="77777777" w:rsidR="00E60021" w:rsidRPr="000A129D" w:rsidRDefault="00E60021" w:rsidP="000A129D">
      <w:pPr>
        <w:spacing w:after="0"/>
        <w:jc w:val="right"/>
      </w:pPr>
    </w:p>
    <w:p w14:paraId="52282686" w14:textId="6E0D9253" w:rsidR="00E60021" w:rsidRPr="000A129D" w:rsidRDefault="00E60021" w:rsidP="000A129D">
      <w:pPr>
        <w:spacing w:after="0"/>
        <w:jc w:val="right"/>
      </w:pPr>
      <w:r w:rsidRPr="000A129D">
        <w:t xml:space="preserve">/ </w:t>
      </w:r>
      <w:r w:rsidR="00C6334A">
        <w:t>Herálvur Joensen</w:t>
      </w:r>
    </w:p>
    <w:p w14:paraId="695AB16D" w14:textId="77777777" w:rsidR="00E60021" w:rsidRPr="000A129D" w:rsidRDefault="00E60021" w:rsidP="000A129D">
      <w:pPr>
        <w:spacing w:after="0"/>
        <w:jc w:val="right"/>
      </w:pPr>
    </w:p>
    <w:p w14:paraId="57559F21" w14:textId="77777777" w:rsidR="00E60021" w:rsidRPr="000A129D" w:rsidRDefault="00E60021" w:rsidP="000A129D">
      <w:pPr>
        <w:spacing w:after="0"/>
      </w:pPr>
    </w:p>
    <w:p w14:paraId="0AC68A7C" w14:textId="77777777" w:rsidR="00E60021" w:rsidRPr="000A129D" w:rsidRDefault="00E60021" w:rsidP="000A129D">
      <w:pPr>
        <w:spacing w:after="0"/>
        <w:rPr>
          <w:b/>
        </w:rPr>
      </w:pPr>
      <w:r w:rsidRPr="000A129D">
        <w:rPr>
          <w:b/>
        </w:rPr>
        <w:t>Yvirlit yvir fylgiskjøl:</w:t>
      </w:r>
    </w:p>
    <w:p w14:paraId="7DBB742F" w14:textId="77777777" w:rsidR="00E60021" w:rsidRPr="000A129D" w:rsidRDefault="00E60021" w:rsidP="000A129D">
      <w:pPr>
        <w:spacing w:after="0"/>
      </w:pPr>
      <w:r w:rsidRPr="000A129D">
        <w:t>Fylgiskjal 1: Javntekstur</w:t>
      </w:r>
    </w:p>
    <w:p w14:paraId="73F84A3E" w14:textId="77777777" w:rsidR="00081C11" w:rsidRPr="000A129D" w:rsidRDefault="00081C11" w:rsidP="000A129D"/>
    <w:sectPr w:rsidR="00081C11" w:rsidRPr="000A129D" w:rsidSect="00532AF3">
      <w:headerReference w:type="even" r:id="rId10"/>
      <w:headerReference w:type="default" r:id="rId11"/>
      <w:footerReference w:type="default" r:id="rId12"/>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0958" w14:textId="77777777" w:rsidR="00F43C63" w:rsidRDefault="00F43C63">
      <w:pPr>
        <w:spacing w:after="0"/>
      </w:pPr>
      <w:r>
        <w:separator/>
      </w:r>
    </w:p>
  </w:endnote>
  <w:endnote w:type="continuationSeparator" w:id="0">
    <w:p w14:paraId="49DF9ECA" w14:textId="77777777" w:rsidR="00F43C63" w:rsidRDefault="00F43C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0AC2" w14:textId="77777777" w:rsidR="00532AF3" w:rsidRDefault="00532AF3">
    <w:pPr>
      <w:pStyle w:val="Sidefod"/>
      <w:jc w:val="center"/>
    </w:pPr>
    <w:r w:rsidRPr="00BD0332">
      <w:rPr>
        <w:bCs/>
      </w:rPr>
      <w:fldChar w:fldCharType="begin"/>
    </w:r>
    <w:r w:rsidRPr="00BD0332">
      <w:rPr>
        <w:bCs/>
      </w:rPr>
      <w:instrText>PAGE</w:instrText>
    </w:r>
    <w:r w:rsidRPr="00BD0332">
      <w:rPr>
        <w:bCs/>
      </w:rPr>
      <w:fldChar w:fldCharType="separate"/>
    </w:r>
    <w:r w:rsidR="00997DB1">
      <w:rPr>
        <w:bCs/>
        <w:noProof/>
      </w:rPr>
      <w:t>1</w:t>
    </w:r>
    <w:r w:rsidR="00997DB1">
      <w:rPr>
        <w:bCs/>
        <w:noProof/>
      </w:rPr>
      <w:t>0</w:t>
    </w:r>
    <w:r w:rsidRPr="00BD0332">
      <w:rPr>
        <w:bCs/>
      </w:rPr>
      <w:fldChar w:fldCharType="end"/>
    </w:r>
    <w:r>
      <w:t xml:space="preserve"> </w:t>
    </w:r>
    <w:r>
      <w:t>/</w:t>
    </w:r>
    <w:r w:rsidRPr="00BD0332">
      <w:t xml:space="preserve"> </w:t>
    </w:r>
    <w:r w:rsidRPr="00BD0332">
      <w:rPr>
        <w:bCs/>
      </w:rPr>
      <w:fldChar w:fldCharType="begin"/>
    </w:r>
    <w:r w:rsidRPr="00BD0332">
      <w:rPr>
        <w:bCs/>
      </w:rPr>
      <w:instrText>NUMPAGES</w:instrText>
    </w:r>
    <w:r w:rsidRPr="00BD0332">
      <w:rPr>
        <w:bCs/>
      </w:rPr>
      <w:fldChar w:fldCharType="separate"/>
    </w:r>
    <w:r w:rsidR="00997DB1">
      <w:rPr>
        <w:bCs/>
        <w:noProof/>
      </w:rPr>
      <w:t>10</w:t>
    </w:r>
    <w:r w:rsidRPr="00BD0332">
      <w:rPr>
        <w:bCs/>
      </w:rPr>
      <w:fldChar w:fldCharType="end"/>
    </w:r>
  </w:p>
  <w:p w14:paraId="00F2C0BF"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2135" w14:textId="77777777" w:rsidR="00F43C63" w:rsidRDefault="00F43C63">
      <w:pPr>
        <w:spacing w:after="0"/>
      </w:pPr>
      <w:r>
        <w:separator/>
      </w:r>
    </w:p>
  </w:footnote>
  <w:footnote w:type="continuationSeparator" w:id="0">
    <w:p w14:paraId="4C99CF07" w14:textId="77777777" w:rsidR="00F43C63" w:rsidRDefault="00F43C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47F" w14:textId="77777777" w:rsidR="00532AF3" w:rsidRPr="00DA32B2" w:rsidRDefault="00532AF3">
    <w:pPr>
      <w:pStyle w:val="Sidehoved"/>
    </w:pPr>
  </w:p>
  <w:p w14:paraId="479E2C0B" w14:textId="77777777" w:rsidR="00532AF3" w:rsidRPr="00DA32B2" w:rsidRDefault="00532A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714E" w14:textId="77777777" w:rsidR="00532AF3" w:rsidRPr="00DA32B2" w:rsidRDefault="00532AF3" w:rsidP="00035C9D">
    <w:pPr>
      <w:pStyle w:val="Sidehoved"/>
      <w:tabs>
        <w:tab w:val="left" w:pos="3690"/>
      </w:tabs>
      <w:spacing w:before="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D54"/>
    <w:multiLevelType w:val="hybridMultilevel"/>
    <w:tmpl w:val="A992BE68"/>
    <w:lvl w:ilvl="0" w:tplc="248204F6">
      <w:start w:val="94"/>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BCF1736"/>
    <w:multiLevelType w:val="hybridMultilevel"/>
    <w:tmpl w:val="B2F87F52"/>
    <w:lvl w:ilvl="0" w:tplc="D1A88FA4">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E17223A"/>
    <w:multiLevelType w:val="hybridMultilevel"/>
    <w:tmpl w:val="CBB0ADF6"/>
    <w:lvl w:ilvl="0" w:tplc="0438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62813E0"/>
    <w:multiLevelType w:val="hybridMultilevel"/>
    <w:tmpl w:val="4656D5F6"/>
    <w:lvl w:ilvl="0" w:tplc="D1A88FA4">
      <w:start w:val="1"/>
      <w:numFmt w:val="bullet"/>
      <w:lvlText w:val=""/>
      <w:lvlJc w:val="left"/>
      <w:pPr>
        <w:ind w:left="360" w:hanging="360"/>
      </w:pPr>
      <w:rPr>
        <w:rFonts w:ascii="Symbol" w:hAnsi="Symbol" w:hint="default"/>
      </w:rPr>
    </w:lvl>
    <w:lvl w:ilvl="1" w:tplc="04380003" w:tentative="1">
      <w:start w:val="1"/>
      <w:numFmt w:val="bullet"/>
      <w:lvlText w:val="o"/>
      <w:lvlJc w:val="left"/>
      <w:pPr>
        <w:ind w:left="1080" w:hanging="360"/>
      </w:pPr>
      <w:rPr>
        <w:rFonts w:ascii="Courier New" w:hAnsi="Courier New" w:cs="Courier New" w:hint="default"/>
      </w:rPr>
    </w:lvl>
    <w:lvl w:ilvl="2" w:tplc="04380005" w:tentative="1">
      <w:start w:val="1"/>
      <w:numFmt w:val="bullet"/>
      <w:lvlText w:val=""/>
      <w:lvlJc w:val="left"/>
      <w:pPr>
        <w:ind w:left="1800" w:hanging="360"/>
      </w:pPr>
      <w:rPr>
        <w:rFonts w:ascii="Wingdings" w:hAnsi="Wingdings" w:hint="default"/>
      </w:rPr>
    </w:lvl>
    <w:lvl w:ilvl="3" w:tplc="04380001" w:tentative="1">
      <w:start w:val="1"/>
      <w:numFmt w:val="bullet"/>
      <w:lvlText w:val=""/>
      <w:lvlJc w:val="left"/>
      <w:pPr>
        <w:ind w:left="2520" w:hanging="360"/>
      </w:pPr>
      <w:rPr>
        <w:rFonts w:ascii="Symbol" w:hAnsi="Symbol" w:hint="default"/>
      </w:rPr>
    </w:lvl>
    <w:lvl w:ilvl="4" w:tplc="04380003" w:tentative="1">
      <w:start w:val="1"/>
      <w:numFmt w:val="bullet"/>
      <w:lvlText w:val="o"/>
      <w:lvlJc w:val="left"/>
      <w:pPr>
        <w:ind w:left="3240" w:hanging="360"/>
      </w:pPr>
      <w:rPr>
        <w:rFonts w:ascii="Courier New" w:hAnsi="Courier New" w:cs="Courier New" w:hint="default"/>
      </w:rPr>
    </w:lvl>
    <w:lvl w:ilvl="5" w:tplc="04380005" w:tentative="1">
      <w:start w:val="1"/>
      <w:numFmt w:val="bullet"/>
      <w:lvlText w:val=""/>
      <w:lvlJc w:val="left"/>
      <w:pPr>
        <w:ind w:left="3960" w:hanging="360"/>
      </w:pPr>
      <w:rPr>
        <w:rFonts w:ascii="Wingdings" w:hAnsi="Wingdings" w:hint="default"/>
      </w:rPr>
    </w:lvl>
    <w:lvl w:ilvl="6" w:tplc="04380001" w:tentative="1">
      <w:start w:val="1"/>
      <w:numFmt w:val="bullet"/>
      <w:lvlText w:val=""/>
      <w:lvlJc w:val="left"/>
      <w:pPr>
        <w:ind w:left="4680" w:hanging="360"/>
      </w:pPr>
      <w:rPr>
        <w:rFonts w:ascii="Symbol" w:hAnsi="Symbol" w:hint="default"/>
      </w:rPr>
    </w:lvl>
    <w:lvl w:ilvl="7" w:tplc="04380003" w:tentative="1">
      <w:start w:val="1"/>
      <w:numFmt w:val="bullet"/>
      <w:lvlText w:val="o"/>
      <w:lvlJc w:val="left"/>
      <w:pPr>
        <w:ind w:left="5400" w:hanging="360"/>
      </w:pPr>
      <w:rPr>
        <w:rFonts w:ascii="Courier New" w:hAnsi="Courier New" w:cs="Courier New" w:hint="default"/>
      </w:rPr>
    </w:lvl>
    <w:lvl w:ilvl="8" w:tplc="04380005" w:tentative="1">
      <w:start w:val="1"/>
      <w:numFmt w:val="bullet"/>
      <w:lvlText w:val=""/>
      <w:lvlJc w:val="left"/>
      <w:pPr>
        <w:ind w:left="6120" w:hanging="360"/>
      </w:pPr>
      <w:rPr>
        <w:rFonts w:ascii="Wingdings" w:hAnsi="Wingdings" w:hint="default"/>
      </w:rPr>
    </w:lvl>
  </w:abstractNum>
  <w:abstractNum w:abstractNumId="4" w15:restartNumberingAfterBreak="0">
    <w:nsid w:val="302778C9"/>
    <w:multiLevelType w:val="hybridMultilevel"/>
    <w:tmpl w:val="0486F65A"/>
    <w:lvl w:ilvl="0" w:tplc="D1A88FA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8363842"/>
    <w:multiLevelType w:val="hybridMultilevel"/>
    <w:tmpl w:val="F888338A"/>
    <w:lvl w:ilvl="0" w:tplc="D1A88FA4">
      <w:start w:val="1"/>
      <w:numFmt w:val="bullet"/>
      <w:lvlText w:val=""/>
      <w:lvlJc w:val="left"/>
      <w:pPr>
        <w:ind w:left="360" w:hanging="360"/>
      </w:pPr>
      <w:rPr>
        <w:rFonts w:ascii="Symbol" w:hAnsi="Symbol" w:hint="default"/>
      </w:rPr>
    </w:lvl>
    <w:lvl w:ilvl="1" w:tplc="04380003" w:tentative="1">
      <w:start w:val="1"/>
      <w:numFmt w:val="bullet"/>
      <w:lvlText w:val="o"/>
      <w:lvlJc w:val="left"/>
      <w:pPr>
        <w:ind w:left="1080" w:hanging="360"/>
      </w:pPr>
      <w:rPr>
        <w:rFonts w:ascii="Courier New" w:hAnsi="Courier New" w:cs="Courier New" w:hint="default"/>
      </w:rPr>
    </w:lvl>
    <w:lvl w:ilvl="2" w:tplc="04380005" w:tentative="1">
      <w:start w:val="1"/>
      <w:numFmt w:val="bullet"/>
      <w:lvlText w:val=""/>
      <w:lvlJc w:val="left"/>
      <w:pPr>
        <w:ind w:left="1800" w:hanging="360"/>
      </w:pPr>
      <w:rPr>
        <w:rFonts w:ascii="Wingdings" w:hAnsi="Wingdings" w:hint="default"/>
      </w:rPr>
    </w:lvl>
    <w:lvl w:ilvl="3" w:tplc="04380001" w:tentative="1">
      <w:start w:val="1"/>
      <w:numFmt w:val="bullet"/>
      <w:lvlText w:val=""/>
      <w:lvlJc w:val="left"/>
      <w:pPr>
        <w:ind w:left="2520" w:hanging="360"/>
      </w:pPr>
      <w:rPr>
        <w:rFonts w:ascii="Symbol" w:hAnsi="Symbol" w:hint="default"/>
      </w:rPr>
    </w:lvl>
    <w:lvl w:ilvl="4" w:tplc="04380003" w:tentative="1">
      <w:start w:val="1"/>
      <w:numFmt w:val="bullet"/>
      <w:lvlText w:val="o"/>
      <w:lvlJc w:val="left"/>
      <w:pPr>
        <w:ind w:left="3240" w:hanging="360"/>
      </w:pPr>
      <w:rPr>
        <w:rFonts w:ascii="Courier New" w:hAnsi="Courier New" w:cs="Courier New" w:hint="default"/>
      </w:rPr>
    </w:lvl>
    <w:lvl w:ilvl="5" w:tplc="04380005" w:tentative="1">
      <w:start w:val="1"/>
      <w:numFmt w:val="bullet"/>
      <w:lvlText w:val=""/>
      <w:lvlJc w:val="left"/>
      <w:pPr>
        <w:ind w:left="3960" w:hanging="360"/>
      </w:pPr>
      <w:rPr>
        <w:rFonts w:ascii="Wingdings" w:hAnsi="Wingdings" w:hint="default"/>
      </w:rPr>
    </w:lvl>
    <w:lvl w:ilvl="6" w:tplc="04380001" w:tentative="1">
      <w:start w:val="1"/>
      <w:numFmt w:val="bullet"/>
      <w:lvlText w:val=""/>
      <w:lvlJc w:val="left"/>
      <w:pPr>
        <w:ind w:left="4680" w:hanging="360"/>
      </w:pPr>
      <w:rPr>
        <w:rFonts w:ascii="Symbol" w:hAnsi="Symbol" w:hint="default"/>
      </w:rPr>
    </w:lvl>
    <w:lvl w:ilvl="7" w:tplc="04380003" w:tentative="1">
      <w:start w:val="1"/>
      <w:numFmt w:val="bullet"/>
      <w:lvlText w:val="o"/>
      <w:lvlJc w:val="left"/>
      <w:pPr>
        <w:ind w:left="5400" w:hanging="360"/>
      </w:pPr>
      <w:rPr>
        <w:rFonts w:ascii="Courier New" w:hAnsi="Courier New" w:cs="Courier New" w:hint="default"/>
      </w:rPr>
    </w:lvl>
    <w:lvl w:ilvl="8" w:tplc="04380005" w:tentative="1">
      <w:start w:val="1"/>
      <w:numFmt w:val="bullet"/>
      <w:lvlText w:val=""/>
      <w:lvlJc w:val="left"/>
      <w:pPr>
        <w:ind w:left="6120" w:hanging="360"/>
      </w:pPr>
      <w:rPr>
        <w:rFonts w:ascii="Wingdings" w:hAnsi="Wingdings" w:hint="default"/>
      </w:rPr>
    </w:lvl>
  </w:abstractNum>
  <w:abstractNum w:abstractNumId="6" w15:restartNumberingAfterBreak="0">
    <w:nsid w:val="41A474D3"/>
    <w:multiLevelType w:val="hybridMultilevel"/>
    <w:tmpl w:val="203E5068"/>
    <w:lvl w:ilvl="0" w:tplc="D1A88FA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D844C8"/>
    <w:multiLevelType w:val="hybridMultilevel"/>
    <w:tmpl w:val="E6F00C54"/>
    <w:lvl w:ilvl="0" w:tplc="D1A88FA4">
      <w:start w:val="1"/>
      <w:numFmt w:val="bullet"/>
      <w:lvlText w:val=""/>
      <w:lvlJc w:val="left"/>
      <w:pPr>
        <w:ind w:left="360" w:hanging="360"/>
      </w:pPr>
      <w:rPr>
        <w:rFonts w:ascii="Symbol" w:hAnsi="Symbol" w:hint="default"/>
      </w:rPr>
    </w:lvl>
    <w:lvl w:ilvl="1" w:tplc="04380003" w:tentative="1">
      <w:start w:val="1"/>
      <w:numFmt w:val="bullet"/>
      <w:lvlText w:val="o"/>
      <w:lvlJc w:val="left"/>
      <w:pPr>
        <w:ind w:left="1080" w:hanging="360"/>
      </w:pPr>
      <w:rPr>
        <w:rFonts w:ascii="Courier New" w:hAnsi="Courier New" w:cs="Courier New" w:hint="default"/>
      </w:rPr>
    </w:lvl>
    <w:lvl w:ilvl="2" w:tplc="04380005" w:tentative="1">
      <w:start w:val="1"/>
      <w:numFmt w:val="bullet"/>
      <w:lvlText w:val=""/>
      <w:lvlJc w:val="left"/>
      <w:pPr>
        <w:ind w:left="1800" w:hanging="360"/>
      </w:pPr>
      <w:rPr>
        <w:rFonts w:ascii="Wingdings" w:hAnsi="Wingdings" w:hint="default"/>
      </w:rPr>
    </w:lvl>
    <w:lvl w:ilvl="3" w:tplc="04380001" w:tentative="1">
      <w:start w:val="1"/>
      <w:numFmt w:val="bullet"/>
      <w:lvlText w:val=""/>
      <w:lvlJc w:val="left"/>
      <w:pPr>
        <w:ind w:left="2520" w:hanging="360"/>
      </w:pPr>
      <w:rPr>
        <w:rFonts w:ascii="Symbol" w:hAnsi="Symbol" w:hint="default"/>
      </w:rPr>
    </w:lvl>
    <w:lvl w:ilvl="4" w:tplc="04380003" w:tentative="1">
      <w:start w:val="1"/>
      <w:numFmt w:val="bullet"/>
      <w:lvlText w:val="o"/>
      <w:lvlJc w:val="left"/>
      <w:pPr>
        <w:ind w:left="3240" w:hanging="360"/>
      </w:pPr>
      <w:rPr>
        <w:rFonts w:ascii="Courier New" w:hAnsi="Courier New" w:cs="Courier New" w:hint="default"/>
      </w:rPr>
    </w:lvl>
    <w:lvl w:ilvl="5" w:tplc="04380005" w:tentative="1">
      <w:start w:val="1"/>
      <w:numFmt w:val="bullet"/>
      <w:lvlText w:val=""/>
      <w:lvlJc w:val="left"/>
      <w:pPr>
        <w:ind w:left="3960" w:hanging="360"/>
      </w:pPr>
      <w:rPr>
        <w:rFonts w:ascii="Wingdings" w:hAnsi="Wingdings" w:hint="default"/>
      </w:rPr>
    </w:lvl>
    <w:lvl w:ilvl="6" w:tplc="04380001" w:tentative="1">
      <w:start w:val="1"/>
      <w:numFmt w:val="bullet"/>
      <w:lvlText w:val=""/>
      <w:lvlJc w:val="left"/>
      <w:pPr>
        <w:ind w:left="4680" w:hanging="360"/>
      </w:pPr>
      <w:rPr>
        <w:rFonts w:ascii="Symbol" w:hAnsi="Symbol" w:hint="default"/>
      </w:rPr>
    </w:lvl>
    <w:lvl w:ilvl="7" w:tplc="04380003" w:tentative="1">
      <w:start w:val="1"/>
      <w:numFmt w:val="bullet"/>
      <w:lvlText w:val="o"/>
      <w:lvlJc w:val="left"/>
      <w:pPr>
        <w:ind w:left="5400" w:hanging="360"/>
      </w:pPr>
      <w:rPr>
        <w:rFonts w:ascii="Courier New" w:hAnsi="Courier New" w:cs="Courier New" w:hint="default"/>
      </w:rPr>
    </w:lvl>
    <w:lvl w:ilvl="8" w:tplc="04380005" w:tentative="1">
      <w:start w:val="1"/>
      <w:numFmt w:val="bullet"/>
      <w:lvlText w:val=""/>
      <w:lvlJc w:val="left"/>
      <w:pPr>
        <w:ind w:left="6120" w:hanging="360"/>
      </w:pPr>
      <w:rPr>
        <w:rFonts w:ascii="Wingdings" w:hAnsi="Wingdings" w:hint="default"/>
      </w:rPr>
    </w:lvl>
  </w:abstractNum>
  <w:abstractNum w:abstractNumId="8" w15:restartNumberingAfterBreak="0">
    <w:nsid w:val="44652889"/>
    <w:multiLevelType w:val="hybridMultilevel"/>
    <w:tmpl w:val="ACB64DF8"/>
    <w:lvl w:ilvl="0" w:tplc="D1A88FA4">
      <w:start w:val="1"/>
      <w:numFmt w:val="bullet"/>
      <w:lvlText w:val=""/>
      <w:lvlJc w:val="left"/>
      <w:pPr>
        <w:ind w:left="360" w:hanging="360"/>
      </w:pPr>
      <w:rPr>
        <w:rFonts w:ascii="Symbol" w:hAnsi="Symbol" w:hint="default"/>
      </w:rPr>
    </w:lvl>
    <w:lvl w:ilvl="1" w:tplc="04380003" w:tentative="1">
      <w:start w:val="1"/>
      <w:numFmt w:val="bullet"/>
      <w:lvlText w:val="o"/>
      <w:lvlJc w:val="left"/>
      <w:pPr>
        <w:ind w:left="1080" w:hanging="360"/>
      </w:pPr>
      <w:rPr>
        <w:rFonts w:ascii="Courier New" w:hAnsi="Courier New" w:cs="Courier New" w:hint="default"/>
      </w:rPr>
    </w:lvl>
    <w:lvl w:ilvl="2" w:tplc="04380005" w:tentative="1">
      <w:start w:val="1"/>
      <w:numFmt w:val="bullet"/>
      <w:lvlText w:val=""/>
      <w:lvlJc w:val="left"/>
      <w:pPr>
        <w:ind w:left="1800" w:hanging="360"/>
      </w:pPr>
      <w:rPr>
        <w:rFonts w:ascii="Wingdings" w:hAnsi="Wingdings" w:hint="default"/>
      </w:rPr>
    </w:lvl>
    <w:lvl w:ilvl="3" w:tplc="04380001" w:tentative="1">
      <w:start w:val="1"/>
      <w:numFmt w:val="bullet"/>
      <w:lvlText w:val=""/>
      <w:lvlJc w:val="left"/>
      <w:pPr>
        <w:ind w:left="2520" w:hanging="360"/>
      </w:pPr>
      <w:rPr>
        <w:rFonts w:ascii="Symbol" w:hAnsi="Symbol" w:hint="default"/>
      </w:rPr>
    </w:lvl>
    <w:lvl w:ilvl="4" w:tplc="04380003" w:tentative="1">
      <w:start w:val="1"/>
      <w:numFmt w:val="bullet"/>
      <w:lvlText w:val="o"/>
      <w:lvlJc w:val="left"/>
      <w:pPr>
        <w:ind w:left="3240" w:hanging="360"/>
      </w:pPr>
      <w:rPr>
        <w:rFonts w:ascii="Courier New" w:hAnsi="Courier New" w:cs="Courier New" w:hint="default"/>
      </w:rPr>
    </w:lvl>
    <w:lvl w:ilvl="5" w:tplc="04380005" w:tentative="1">
      <w:start w:val="1"/>
      <w:numFmt w:val="bullet"/>
      <w:lvlText w:val=""/>
      <w:lvlJc w:val="left"/>
      <w:pPr>
        <w:ind w:left="3960" w:hanging="360"/>
      </w:pPr>
      <w:rPr>
        <w:rFonts w:ascii="Wingdings" w:hAnsi="Wingdings" w:hint="default"/>
      </w:rPr>
    </w:lvl>
    <w:lvl w:ilvl="6" w:tplc="04380001" w:tentative="1">
      <w:start w:val="1"/>
      <w:numFmt w:val="bullet"/>
      <w:lvlText w:val=""/>
      <w:lvlJc w:val="left"/>
      <w:pPr>
        <w:ind w:left="4680" w:hanging="360"/>
      </w:pPr>
      <w:rPr>
        <w:rFonts w:ascii="Symbol" w:hAnsi="Symbol" w:hint="default"/>
      </w:rPr>
    </w:lvl>
    <w:lvl w:ilvl="7" w:tplc="04380003" w:tentative="1">
      <w:start w:val="1"/>
      <w:numFmt w:val="bullet"/>
      <w:lvlText w:val="o"/>
      <w:lvlJc w:val="left"/>
      <w:pPr>
        <w:ind w:left="5400" w:hanging="360"/>
      </w:pPr>
      <w:rPr>
        <w:rFonts w:ascii="Courier New" w:hAnsi="Courier New" w:cs="Courier New" w:hint="default"/>
      </w:rPr>
    </w:lvl>
    <w:lvl w:ilvl="8" w:tplc="04380005" w:tentative="1">
      <w:start w:val="1"/>
      <w:numFmt w:val="bullet"/>
      <w:lvlText w:val=""/>
      <w:lvlJc w:val="left"/>
      <w:pPr>
        <w:ind w:left="6120" w:hanging="360"/>
      </w:pPr>
      <w:rPr>
        <w:rFonts w:ascii="Wingdings" w:hAnsi="Wingdings" w:hint="default"/>
      </w:rPr>
    </w:lvl>
  </w:abstractNum>
  <w:abstractNum w:abstractNumId="9" w15:restartNumberingAfterBreak="0">
    <w:nsid w:val="54841A9F"/>
    <w:multiLevelType w:val="hybridMultilevel"/>
    <w:tmpl w:val="03C03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abstractNum w:abstractNumId="11" w15:restartNumberingAfterBreak="0">
    <w:nsid w:val="72C12BDA"/>
    <w:multiLevelType w:val="hybridMultilevel"/>
    <w:tmpl w:val="188E7048"/>
    <w:lvl w:ilvl="0" w:tplc="0866ADB2">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2" w15:restartNumberingAfterBreak="0">
    <w:nsid w:val="74E13A38"/>
    <w:multiLevelType w:val="hybridMultilevel"/>
    <w:tmpl w:val="3E580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7332742"/>
    <w:multiLevelType w:val="hybridMultilevel"/>
    <w:tmpl w:val="75641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A8A5783"/>
    <w:multiLevelType w:val="hybridMultilevel"/>
    <w:tmpl w:val="143EE6C2"/>
    <w:lvl w:ilvl="0" w:tplc="0438000F">
      <w:start w:val="1"/>
      <w:numFmt w:val="decimal"/>
      <w:lvlText w:val="%1."/>
      <w:lvlJc w:val="left"/>
      <w:pPr>
        <w:ind w:left="1080" w:hanging="360"/>
      </w:pPr>
    </w:lvl>
    <w:lvl w:ilvl="1" w:tplc="04380019" w:tentative="1">
      <w:start w:val="1"/>
      <w:numFmt w:val="lowerLetter"/>
      <w:lvlText w:val="%2."/>
      <w:lvlJc w:val="left"/>
      <w:pPr>
        <w:ind w:left="1800" w:hanging="360"/>
      </w:pPr>
    </w:lvl>
    <w:lvl w:ilvl="2" w:tplc="0438001B" w:tentative="1">
      <w:start w:val="1"/>
      <w:numFmt w:val="lowerRoman"/>
      <w:lvlText w:val="%3."/>
      <w:lvlJc w:val="right"/>
      <w:pPr>
        <w:ind w:left="2520" w:hanging="180"/>
      </w:pPr>
    </w:lvl>
    <w:lvl w:ilvl="3" w:tplc="0438000F" w:tentative="1">
      <w:start w:val="1"/>
      <w:numFmt w:val="decimal"/>
      <w:lvlText w:val="%4."/>
      <w:lvlJc w:val="left"/>
      <w:pPr>
        <w:ind w:left="3240" w:hanging="360"/>
      </w:pPr>
    </w:lvl>
    <w:lvl w:ilvl="4" w:tplc="04380019" w:tentative="1">
      <w:start w:val="1"/>
      <w:numFmt w:val="lowerLetter"/>
      <w:lvlText w:val="%5."/>
      <w:lvlJc w:val="left"/>
      <w:pPr>
        <w:ind w:left="3960" w:hanging="360"/>
      </w:pPr>
    </w:lvl>
    <w:lvl w:ilvl="5" w:tplc="0438001B" w:tentative="1">
      <w:start w:val="1"/>
      <w:numFmt w:val="lowerRoman"/>
      <w:lvlText w:val="%6."/>
      <w:lvlJc w:val="right"/>
      <w:pPr>
        <w:ind w:left="4680" w:hanging="180"/>
      </w:pPr>
    </w:lvl>
    <w:lvl w:ilvl="6" w:tplc="0438000F" w:tentative="1">
      <w:start w:val="1"/>
      <w:numFmt w:val="decimal"/>
      <w:lvlText w:val="%7."/>
      <w:lvlJc w:val="left"/>
      <w:pPr>
        <w:ind w:left="5400" w:hanging="360"/>
      </w:pPr>
    </w:lvl>
    <w:lvl w:ilvl="7" w:tplc="04380019" w:tentative="1">
      <w:start w:val="1"/>
      <w:numFmt w:val="lowerLetter"/>
      <w:lvlText w:val="%8."/>
      <w:lvlJc w:val="left"/>
      <w:pPr>
        <w:ind w:left="6120" w:hanging="360"/>
      </w:pPr>
    </w:lvl>
    <w:lvl w:ilvl="8" w:tplc="0438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4"/>
  </w:num>
  <w:num w:numId="5">
    <w:abstractNumId w:val="10"/>
  </w:num>
  <w:num w:numId="6">
    <w:abstractNumId w:val="14"/>
  </w:num>
  <w:num w:numId="7">
    <w:abstractNumId w:val="11"/>
  </w:num>
  <w:num w:numId="8">
    <w:abstractNumId w:val="2"/>
  </w:num>
  <w:num w:numId="9">
    <w:abstractNumId w:val="1"/>
  </w:num>
  <w:num w:numId="10">
    <w:abstractNumId w:val="7"/>
  </w:num>
  <w:num w:numId="11">
    <w:abstractNumId w:val="5"/>
  </w:num>
  <w:num w:numId="12">
    <w:abstractNumId w:val="8"/>
  </w:num>
  <w:num w:numId="13">
    <w:abstractNumId w:val="3"/>
  </w:num>
  <w:num w:numId="14">
    <w:abstractNumId w:val="1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0D"/>
    <w:rsid w:val="000006FE"/>
    <w:rsid w:val="000017D4"/>
    <w:rsid w:val="00004D27"/>
    <w:rsid w:val="000060BB"/>
    <w:rsid w:val="00006C13"/>
    <w:rsid w:val="00006DD8"/>
    <w:rsid w:val="00010AE5"/>
    <w:rsid w:val="00012F6F"/>
    <w:rsid w:val="00021780"/>
    <w:rsid w:val="00022335"/>
    <w:rsid w:val="00023C59"/>
    <w:rsid w:val="00025272"/>
    <w:rsid w:val="000257FF"/>
    <w:rsid w:val="0003064D"/>
    <w:rsid w:val="00031685"/>
    <w:rsid w:val="000330DD"/>
    <w:rsid w:val="0003406A"/>
    <w:rsid w:val="00035BFD"/>
    <w:rsid w:val="000522F8"/>
    <w:rsid w:val="000678D6"/>
    <w:rsid w:val="000700B9"/>
    <w:rsid w:val="00073F0E"/>
    <w:rsid w:val="000758C6"/>
    <w:rsid w:val="0007728E"/>
    <w:rsid w:val="00081C11"/>
    <w:rsid w:val="0008697C"/>
    <w:rsid w:val="0009095B"/>
    <w:rsid w:val="000978A2"/>
    <w:rsid w:val="000A129D"/>
    <w:rsid w:val="000A5CE7"/>
    <w:rsid w:val="000A61D8"/>
    <w:rsid w:val="000A772F"/>
    <w:rsid w:val="000B1057"/>
    <w:rsid w:val="000B3A51"/>
    <w:rsid w:val="000B70F1"/>
    <w:rsid w:val="000C270C"/>
    <w:rsid w:val="000C3675"/>
    <w:rsid w:val="000D17FA"/>
    <w:rsid w:val="000D1CFC"/>
    <w:rsid w:val="000D287B"/>
    <w:rsid w:val="000D3DC8"/>
    <w:rsid w:val="000D7B51"/>
    <w:rsid w:val="000E1091"/>
    <w:rsid w:val="000E132A"/>
    <w:rsid w:val="000E4A93"/>
    <w:rsid w:val="000F0B5B"/>
    <w:rsid w:val="000F30A5"/>
    <w:rsid w:val="000F33D0"/>
    <w:rsid w:val="00101865"/>
    <w:rsid w:val="001112AE"/>
    <w:rsid w:val="00114E89"/>
    <w:rsid w:val="001152BD"/>
    <w:rsid w:val="00117DDE"/>
    <w:rsid w:val="00121E55"/>
    <w:rsid w:val="00124124"/>
    <w:rsid w:val="00124670"/>
    <w:rsid w:val="00132332"/>
    <w:rsid w:val="001340A1"/>
    <w:rsid w:val="00135DE3"/>
    <w:rsid w:val="001408CA"/>
    <w:rsid w:val="00150F1E"/>
    <w:rsid w:val="00152315"/>
    <w:rsid w:val="00157C50"/>
    <w:rsid w:val="00161659"/>
    <w:rsid w:val="001662E4"/>
    <w:rsid w:val="00176DBD"/>
    <w:rsid w:val="00177985"/>
    <w:rsid w:val="00180413"/>
    <w:rsid w:val="00187E0F"/>
    <w:rsid w:val="00190675"/>
    <w:rsid w:val="00193356"/>
    <w:rsid w:val="00193AFB"/>
    <w:rsid w:val="00193FC6"/>
    <w:rsid w:val="00194F8C"/>
    <w:rsid w:val="00195E4C"/>
    <w:rsid w:val="001A14BC"/>
    <w:rsid w:val="001B0866"/>
    <w:rsid w:val="001B4C00"/>
    <w:rsid w:val="001B7D36"/>
    <w:rsid w:val="001C0D20"/>
    <w:rsid w:val="001E3DAA"/>
    <w:rsid w:val="001E7D38"/>
    <w:rsid w:val="001F1134"/>
    <w:rsid w:val="001F28F6"/>
    <w:rsid w:val="001F30EB"/>
    <w:rsid w:val="00200532"/>
    <w:rsid w:val="0020616A"/>
    <w:rsid w:val="00206449"/>
    <w:rsid w:val="00207E54"/>
    <w:rsid w:val="00213890"/>
    <w:rsid w:val="00215843"/>
    <w:rsid w:val="002173D7"/>
    <w:rsid w:val="002237E6"/>
    <w:rsid w:val="00230B0E"/>
    <w:rsid w:val="00234562"/>
    <w:rsid w:val="0023759D"/>
    <w:rsid w:val="0024414A"/>
    <w:rsid w:val="00253533"/>
    <w:rsid w:val="0025455A"/>
    <w:rsid w:val="00254B37"/>
    <w:rsid w:val="0025545D"/>
    <w:rsid w:val="0026008A"/>
    <w:rsid w:val="0026105F"/>
    <w:rsid w:val="002636AD"/>
    <w:rsid w:val="00270510"/>
    <w:rsid w:val="002751AF"/>
    <w:rsid w:val="002760BE"/>
    <w:rsid w:val="00283D03"/>
    <w:rsid w:val="00284C3B"/>
    <w:rsid w:val="002860E4"/>
    <w:rsid w:val="00287533"/>
    <w:rsid w:val="00292A2A"/>
    <w:rsid w:val="00294069"/>
    <w:rsid w:val="00296713"/>
    <w:rsid w:val="002967EA"/>
    <w:rsid w:val="002A3D77"/>
    <w:rsid w:val="002A456F"/>
    <w:rsid w:val="002C0405"/>
    <w:rsid w:val="002C3005"/>
    <w:rsid w:val="002C70C8"/>
    <w:rsid w:val="002D0876"/>
    <w:rsid w:val="002D2420"/>
    <w:rsid w:val="002D404F"/>
    <w:rsid w:val="002D76ED"/>
    <w:rsid w:val="002E3480"/>
    <w:rsid w:val="002E3609"/>
    <w:rsid w:val="002E38E0"/>
    <w:rsid w:val="002F2398"/>
    <w:rsid w:val="002F4858"/>
    <w:rsid w:val="002F4F09"/>
    <w:rsid w:val="003008E3"/>
    <w:rsid w:val="003115F4"/>
    <w:rsid w:val="00321BBF"/>
    <w:rsid w:val="00326209"/>
    <w:rsid w:val="00335079"/>
    <w:rsid w:val="003410AA"/>
    <w:rsid w:val="003574AF"/>
    <w:rsid w:val="00365F98"/>
    <w:rsid w:val="00367CB2"/>
    <w:rsid w:val="003700CB"/>
    <w:rsid w:val="0038103B"/>
    <w:rsid w:val="003910D2"/>
    <w:rsid w:val="003A14A9"/>
    <w:rsid w:val="003A192F"/>
    <w:rsid w:val="003B72C8"/>
    <w:rsid w:val="003C2183"/>
    <w:rsid w:val="003E0AEA"/>
    <w:rsid w:val="003E12FF"/>
    <w:rsid w:val="003E4116"/>
    <w:rsid w:val="003E5568"/>
    <w:rsid w:val="003F0919"/>
    <w:rsid w:val="003F2FE4"/>
    <w:rsid w:val="003F3E4B"/>
    <w:rsid w:val="004011CD"/>
    <w:rsid w:val="00407F5F"/>
    <w:rsid w:val="0041267D"/>
    <w:rsid w:val="0042364F"/>
    <w:rsid w:val="00424519"/>
    <w:rsid w:val="00430232"/>
    <w:rsid w:val="00430B3C"/>
    <w:rsid w:val="004315A0"/>
    <w:rsid w:val="00432CBA"/>
    <w:rsid w:val="00433DB4"/>
    <w:rsid w:val="00436FF6"/>
    <w:rsid w:val="00440700"/>
    <w:rsid w:val="00445116"/>
    <w:rsid w:val="004456ED"/>
    <w:rsid w:val="004462B9"/>
    <w:rsid w:val="0045357B"/>
    <w:rsid w:val="00457418"/>
    <w:rsid w:val="004619DB"/>
    <w:rsid w:val="00470D0C"/>
    <w:rsid w:val="00480FEC"/>
    <w:rsid w:val="00483701"/>
    <w:rsid w:val="004843F9"/>
    <w:rsid w:val="00485225"/>
    <w:rsid w:val="00497F7A"/>
    <w:rsid w:val="004A1693"/>
    <w:rsid w:val="004A1C27"/>
    <w:rsid w:val="004A354F"/>
    <w:rsid w:val="004B1673"/>
    <w:rsid w:val="004B2AE8"/>
    <w:rsid w:val="004B4214"/>
    <w:rsid w:val="004B576F"/>
    <w:rsid w:val="004C385C"/>
    <w:rsid w:val="004C6C6F"/>
    <w:rsid w:val="004D1A99"/>
    <w:rsid w:val="004D1C30"/>
    <w:rsid w:val="004D4069"/>
    <w:rsid w:val="004D494A"/>
    <w:rsid w:val="004D5FA5"/>
    <w:rsid w:val="004D7E84"/>
    <w:rsid w:val="004E2428"/>
    <w:rsid w:val="00500E72"/>
    <w:rsid w:val="00500F83"/>
    <w:rsid w:val="00505B77"/>
    <w:rsid w:val="005115C1"/>
    <w:rsid w:val="0051203A"/>
    <w:rsid w:val="00514010"/>
    <w:rsid w:val="00522F30"/>
    <w:rsid w:val="00523C5D"/>
    <w:rsid w:val="00532AF3"/>
    <w:rsid w:val="00533DC2"/>
    <w:rsid w:val="00543261"/>
    <w:rsid w:val="00545469"/>
    <w:rsid w:val="00555505"/>
    <w:rsid w:val="00570EB0"/>
    <w:rsid w:val="00575310"/>
    <w:rsid w:val="00590379"/>
    <w:rsid w:val="00591A6E"/>
    <w:rsid w:val="00594D93"/>
    <w:rsid w:val="005A4033"/>
    <w:rsid w:val="005A4327"/>
    <w:rsid w:val="005B0667"/>
    <w:rsid w:val="005D2164"/>
    <w:rsid w:val="005F36CD"/>
    <w:rsid w:val="005F7D91"/>
    <w:rsid w:val="00601ACC"/>
    <w:rsid w:val="0060319C"/>
    <w:rsid w:val="0060489C"/>
    <w:rsid w:val="00606EE7"/>
    <w:rsid w:val="00613A11"/>
    <w:rsid w:val="00613D4B"/>
    <w:rsid w:val="006144A9"/>
    <w:rsid w:val="00616DA1"/>
    <w:rsid w:val="00626A7D"/>
    <w:rsid w:val="0063158E"/>
    <w:rsid w:val="00633B39"/>
    <w:rsid w:val="006430D6"/>
    <w:rsid w:val="00643CB3"/>
    <w:rsid w:val="00657A37"/>
    <w:rsid w:val="00665AD7"/>
    <w:rsid w:val="00666543"/>
    <w:rsid w:val="0067018D"/>
    <w:rsid w:val="00676928"/>
    <w:rsid w:val="0068581D"/>
    <w:rsid w:val="006950D1"/>
    <w:rsid w:val="006978FE"/>
    <w:rsid w:val="006A42EC"/>
    <w:rsid w:val="006C06F1"/>
    <w:rsid w:val="006C4161"/>
    <w:rsid w:val="006C66AF"/>
    <w:rsid w:val="006C77FF"/>
    <w:rsid w:val="006D1C81"/>
    <w:rsid w:val="006D20AB"/>
    <w:rsid w:val="006D527C"/>
    <w:rsid w:val="006D5D2F"/>
    <w:rsid w:val="006D7709"/>
    <w:rsid w:val="006E393B"/>
    <w:rsid w:val="006E4FD0"/>
    <w:rsid w:val="006E709C"/>
    <w:rsid w:val="006E78AF"/>
    <w:rsid w:val="006F07D6"/>
    <w:rsid w:val="00702ECC"/>
    <w:rsid w:val="0070650C"/>
    <w:rsid w:val="00717EA2"/>
    <w:rsid w:val="00724DE7"/>
    <w:rsid w:val="007271CF"/>
    <w:rsid w:val="00732DC2"/>
    <w:rsid w:val="007369CB"/>
    <w:rsid w:val="00737601"/>
    <w:rsid w:val="0075072B"/>
    <w:rsid w:val="00752B93"/>
    <w:rsid w:val="00752BE1"/>
    <w:rsid w:val="00754523"/>
    <w:rsid w:val="007545E4"/>
    <w:rsid w:val="00754793"/>
    <w:rsid w:val="0076477A"/>
    <w:rsid w:val="007803A1"/>
    <w:rsid w:val="007817E4"/>
    <w:rsid w:val="007865E4"/>
    <w:rsid w:val="00786827"/>
    <w:rsid w:val="00790631"/>
    <w:rsid w:val="00790A31"/>
    <w:rsid w:val="007A0B8C"/>
    <w:rsid w:val="007A2B51"/>
    <w:rsid w:val="007B1ABF"/>
    <w:rsid w:val="007B588D"/>
    <w:rsid w:val="007E0EA8"/>
    <w:rsid w:val="007E2AF3"/>
    <w:rsid w:val="007E5D74"/>
    <w:rsid w:val="007F6BA3"/>
    <w:rsid w:val="008004CE"/>
    <w:rsid w:val="00810FD9"/>
    <w:rsid w:val="0082034E"/>
    <w:rsid w:val="008255B8"/>
    <w:rsid w:val="00825CB3"/>
    <w:rsid w:val="0083484B"/>
    <w:rsid w:val="00841361"/>
    <w:rsid w:val="0085074E"/>
    <w:rsid w:val="00861920"/>
    <w:rsid w:val="0086423E"/>
    <w:rsid w:val="00864B33"/>
    <w:rsid w:val="00866319"/>
    <w:rsid w:val="008772AF"/>
    <w:rsid w:val="00886DB0"/>
    <w:rsid w:val="008A1383"/>
    <w:rsid w:val="008A4884"/>
    <w:rsid w:val="008A6DE8"/>
    <w:rsid w:val="008B0A9A"/>
    <w:rsid w:val="008B123B"/>
    <w:rsid w:val="008B2636"/>
    <w:rsid w:val="008C07BD"/>
    <w:rsid w:val="008C7818"/>
    <w:rsid w:val="008D3225"/>
    <w:rsid w:val="008D3E4F"/>
    <w:rsid w:val="008E1125"/>
    <w:rsid w:val="008E358D"/>
    <w:rsid w:val="008F2EDE"/>
    <w:rsid w:val="00900E0C"/>
    <w:rsid w:val="00905A0D"/>
    <w:rsid w:val="00911DA8"/>
    <w:rsid w:val="00917030"/>
    <w:rsid w:val="0092126D"/>
    <w:rsid w:val="00923DBB"/>
    <w:rsid w:val="009247B3"/>
    <w:rsid w:val="009262E4"/>
    <w:rsid w:val="009323BD"/>
    <w:rsid w:val="009332A1"/>
    <w:rsid w:val="009367CF"/>
    <w:rsid w:val="009428AA"/>
    <w:rsid w:val="00946BB7"/>
    <w:rsid w:val="00947192"/>
    <w:rsid w:val="00953772"/>
    <w:rsid w:val="00974C13"/>
    <w:rsid w:val="00975181"/>
    <w:rsid w:val="00984525"/>
    <w:rsid w:val="0099427D"/>
    <w:rsid w:val="00996F21"/>
    <w:rsid w:val="00997DB1"/>
    <w:rsid w:val="009A78E7"/>
    <w:rsid w:val="009B0868"/>
    <w:rsid w:val="009B4C4B"/>
    <w:rsid w:val="009B7104"/>
    <w:rsid w:val="009C7579"/>
    <w:rsid w:val="009D00B0"/>
    <w:rsid w:val="009F4130"/>
    <w:rsid w:val="009F5D0C"/>
    <w:rsid w:val="00A123DC"/>
    <w:rsid w:val="00A12847"/>
    <w:rsid w:val="00A21E7E"/>
    <w:rsid w:val="00A32DC0"/>
    <w:rsid w:val="00A35FCE"/>
    <w:rsid w:val="00A43508"/>
    <w:rsid w:val="00A466AF"/>
    <w:rsid w:val="00A46909"/>
    <w:rsid w:val="00A47B75"/>
    <w:rsid w:val="00A517FC"/>
    <w:rsid w:val="00A55F8C"/>
    <w:rsid w:val="00A574C7"/>
    <w:rsid w:val="00A60791"/>
    <w:rsid w:val="00A61458"/>
    <w:rsid w:val="00A64086"/>
    <w:rsid w:val="00A6773F"/>
    <w:rsid w:val="00A71CCF"/>
    <w:rsid w:val="00A72CCE"/>
    <w:rsid w:val="00A8069C"/>
    <w:rsid w:val="00A80D49"/>
    <w:rsid w:val="00A8127C"/>
    <w:rsid w:val="00A81557"/>
    <w:rsid w:val="00A91710"/>
    <w:rsid w:val="00A9201E"/>
    <w:rsid w:val="00A93800"/>
    <w:rsid w:val="00A959C2"/>
    <w:rsid w:val="00A963CC"/>
    <w:rsid w:val="00AA5249"/>
    <w:rsid w:val="00AA5F6C"/>
    <w:rsid w:val="00AA7711"/>
    <w:rsid w:val="00AB17F9"/>
    <w:rsid w:val="00AB5B4C"/>
    <w:rsid w:val="00AB6843"/>
    <w:rsid w:val="00AC2E54"/>
    <w:rsid w:val="00AC5BDD"/>
    <w:rsid w:val="00AD07CD"/>
    <w:rsid w:val="00AD0E47"/>
    <w:rsid w:val="00AD1863"/>
    <w:rsid w:val="00AD6D02"/>
    <w:rsid w:val="00AE28D0"/>
    <w:rsid w:val="00AF13AE"/>
    <w:rsid w:val="00AF2E4F"/>
    <w:rsid w:val="00AF589B"/>
    <w:rsid w:val="00B106E4"/>
    <w:rsid w:val="00B1081D"/>
    <w:rsid w:val="00B150A1"/>
    <w:rsid w:val="00B209C5"/>
    <w:rsid w:val="00B42E1F"/>
    <w:rsid w:val="00B43563"/>
    <w:rsid w:val="00B44901"/>
    <w:rsid w:val="00B44CDA"/>
    <w:rsid w:val="00B47B9A"/>
    <w:rsid w:val="00B65A65"/>
    <w:rsid w:val="00B71D42"/>
    <w:rsid w:val="00B75E5F"/>
    <w:rsid w:val="00B80681"/>
    <w:rsid w:val="00B82230"/>
    <w:rsid w:val="00B83F88"/>
    <w:rsid w:val="00B84557"/>
    <w:rsid w:val="00B87233"/>
    <w:rsid w:val="00B92A27"/>
    <w:rsid w:val="00B973E6"/>
    <w:rsid w:val="00BA3F87"/>
    <w:rsid w:val="00BC1E7C"/>
    <w:rsid w:val="00BE0698"/>
    <w:rsid w:val="00BE0E2C"/>
    <w:rsid w:val="00BE3F5B"/>
    <w:rsid w:val="00BE7FEA"/>
    <w:rsid w:val="00BF6760"/>
    <w:rsid w:val="00C01238"/>
    <w:rsid w:val="00C077D0"/>
    <w:rsid w:val="00C1018B"/>
    <w:rsid w:val="00C10253"/>
    <w:rsid w:val="00C14DA1"/>
    <w:rsid w:val="00C17BF2"/>
    <w:rsid w:val="00C24936"/>
    <w:rsid w:val="00C318E6"/>
    <w:rsid w:val="00C32A0D"/>
    <w:rsid w:val="00C34D22"/>
    <w:rsid w:val="00C37E0C"/>
    <w:rsid w:val="00C44F23"/>
    <w:rsid w:val="00C501C1"/>
    <w:rsid w:val="00C5106F"/>
    <w:rsid w:val="00C51AC0"/>
    <w:rsid w:val="00C57F86"/>
    <w:rsid w:val="00C624A6"/>
    <w:rsid w:val="00C6334A"/>
    <w:rsid w:val="00C64A6D"/>
    <w:rsid w:val="00C72F14"/>
    <w:rsid w:val="00C7490D"/>
    <w:rsid w:val="00C765C3"/>
    <w:rsid w:val="00C816AF"/>
    <w:rsid w:val="00C83763"/>
    <w:rsid w:val="00C959BA"/>
    <w:rsid w:val="00C95B04"/>
    <w:rsid w:val="00CA0204"/>
    <w:rsid w:val="00CA0A7F"/>
    <w:rsid w:val="00CA10C6"/>
    <w:rsid w:val="00CA26CB"/>
    <w:rsid w:val="00CA38AA"/>
    <w:rsid w:val="00CA497F"/>
    <w:rsid w:val="00CA749E"/>
    <w:rsid w:val="00CB3166"/>
    <w:rsid w:val="00CB7D39"/>
    <w:rsid w:val="00CC4869"/>
    <w:rsid w:val="00CD4004"/>
    <w:rsid w:val="00CD47C7"/>
    <w:rsid w:val="00CE5F73"/>
    <w:rsid w:val="00CE7E2D"/>
    <w:rsid w:val="00CF060A"/>
    <w:rsid w:val="00CF35B5"/>
    <w:rsid w:val="00CF4D17"/>
    <w:rsid w:val="00D02486"/>
    <w:rsid w:val="00D0477D"/>
    <w:rsid w:val="00D05907"/>
    <w:rsid w:val="00D12E1A"/>
    <w:rsid w:val="00D13272"/>
    <w:rsid w:val="00D25585"/>
    <w:rsid w:val="00D2677E"/>
    <w:rsid w:val="00D2762A"/>
    <w:rsid w:val="00D31E02"/>
    <w:rsid w:val="00D35B33"/>
    <w:rsid w:val="00D35D47"/>
    <w:rsid w:val="00D367FF"/>
    <w:rsid w:val="00D370DB"/>
    <w:rsid w:val="00D40725"/>
    <w:rsid w:val="00D41B54"/>
    <w:rsid w:val="00D41BAE"/>
    <w:rsid w:val="00D45F56"/>
    <w:rsid w:val="00D52C6E"/>
    <w:rsid w:val="00D61B6C"/>
    <w:rsid w:val="00D66F65"/>
    <w:rsid w:val="00D675E9"/>
    <w:rsid w:val="00D70150"/>
    <w:rsid w:val="00D71758"/>
    <w:rsid w:val="00D8156F"/>
    <w:rsid w:val="00D839B5"/>
    <w:rsid w:val="00D94A11"/>
    <w:rsid w:val="00D96A28"/>
    <w:rsid w:val="00DB3897"/>
    <w:rsid w:val="00DB5A6C"/>
    <w:rsid w:val="00DC4DC1"/>
    <w:rsid w:val="00DC58DD"/>
    <w:rsid w:val="00DD0B92"/>
    <w:rsid w:val="00DD1717"/>
    <w:rsid w:val="00DF139F"/>
    <w:rsid w:val="00DF2163"/>
    <w:rsid w:val="00DF4F2D"/>
    <w:rsid w:val="00DF5708"/>
    <w:rsid w:val="00E05017"/>
    <w:rsid w:val="00E129F4"/>
    <w:rsid w:val="00E14BB6"/>
    <w:rsid w:val="00E160A5"/>
    <w:rsid w:val="00E16141"/>
    <w:rsid w:val="00E25284"/>
    <w:rsid w:val="00E30A77"/>
    <w:rsid w:val="00E315AD"/>
    <w:rsid w:val="00E32FB2"/>
    <w:rsid w:val="00E33FF6"/>
    <w:rsid w:val="00E34EF1"/>
    <w:rsid w:val="00E35818"/>
    <w:rsid w:val="00E36F2E"/>
    <w:rsid w:val="00E37E3E"/>
    <w:rsid w:val="00E455B3"/>
    <w:rsid w:val="00E47909"/>
    <w:rsid w:val="00E522D8"/>
    <w:rsid w:val="00E532E9"/>
    <w:rsid w:val="00E53A49"/>
    <w:rsid w:val="00E60021"/>
    <w:rsid w:val="00E72C86"/>
    <w:rsid w:val="00E80506"/>
    <w:rsid w:val="00E848B0"/>
    <w:rsid w:val="00E865D9"/>
    <w:rsid w:val="00E9037B"/>
    <w:rsid w:val="00E94532"/>
    <w:rsid w:val="00E96F91"/>
    <w:rsid w:val="00E97A43"/>
    <w:rsid w:val="00EA0BC5"/>
    <w:rsid w:val="00EA129C"/>
    <w:rsid w:val="00EA13A3"/>
    <w:rsid w:val="00EA3948"/>
    <w:rsid w:val="00EC1BEA"/>
    <w:rsid w:val="00EC34B3"/>
    <w:rsid w:val="00ED2118"/>
    <w:rsid w:val="00EE3ED7"/>
    <w:rsid w:val="00EF329C"/>
    <w:rsid w:val="00EF42A3"/>
    <w:rsid w:val="00EF4BB0"/>
    <w:rsid w:val="00EF4F1D"/>
    <w:rsid w:val="00EF5D0E"/>
    <w:rsid w:val="00F00204"/>
    <w:rsid w:val="00F01ABC"/>
    <w:rsid w:val="00F0642B"/>
    <w:rsid w:val="00F25E2D"/>
    <w:rsid w:val="00F2780C"/>
    <w:rsid w:val="00F34A13"/>
    <w:rsid w:val="00F3697E"/>
    <w:rsid w:val="00F37C8C"/>
    <w:rsid w:val="00F40868"/>
    <w:rsid w:val="00F43C63"/>
    <w:rsid w:val="00F452DF"/>
    <w:rsid w:val="00F517A4"/>
    <w:rsid w:val="00F53AFF"/>
    <w:rsid w:val="00F65598"/>
    <w:rsid w:val="00F672A2"/>
    <w:rsid w:val="00F71071"/>
    <w:rsid w:val="00F71931"/>
    <w:rsid w:val="00F73BA2"/>
    <w:rsid w:val="00F81059"/>
    <w:rsid w:val="00F8171A"/>
    <w:rsid w:val="00F870A8"/>
    <w:rsid w:val="00F90716"/>
    <w:rsid w:val="00F92CF9"/>
    <w:rsid w:val="00FA45AD"/>
    <w:rsid w:val="00FA479C"/>
    <w:rsid w:val="00FB49F4"/>
    <w:rsid w:val="00FB5678"/>
    <w:rsid w:val="00FB7FC8"/>
    <w:rsid w:val="00FC1CA7"/>
    <w:rsid w:val="00FC38C9"/>
    <w:rsid w:val="00FD0666"/>
    <w:rsid w:val="00FD6158"/>
    <w:rsid w:val="00FD669A"/>
    <w:rsid w:val="00FE4C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DF13E"/>
  <w14:defaultImageDpi w14:val="330"/>
  <w15:chartTrackingRefBased/>
  <w15:docId w15:val="{7711E0D6-A855-42F8-A86E-83CF278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21"/>
    <w:pPr>
      <w:spacing w:after="16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rPr>
  </w:style>
  <w:style w:type="paragraph" w:customStyle="1" w:styleId="Stk">
    <w:name w:val="Stk"/>
    <w:basedOn w:val="Normal"/>
    <w:rsid w:val="00AF589B"/>
    <w:pPr>
      <w:spacing w:after="0"/>
      <w:ind w:firstLine="170"/>
    </w:pPr>
    <w:rPr>
      <w:rFonts w:eastAsia="Times New Roman"/>
    </w:rPr>
  </w:style>
  <w:style w:type="paragraph" w:customStyle="1" w:styleId="Paragraftekst">
    <w:name w:val="Paragraftekst"/>
    <w:basedOn w:val="Normal"/>
    <w:next w:val="Normal"/>
    <w:rsid w:val="00AF589B"/>
    <w:pPr>
      <w:spacing w:before="240" w:after="0"/>
      <w:ind w:firstLine="170"/>
    </w:pPr>
    <w:rPr>
      <w:rFonts w:eastAsia="Times New Roman"/>
    </w:rPr>
  </w:style>
  <w:style w:type="paragraph" w:styleId="Sidehoved">
    <w:name w:val="header"/>
    <w:basedOn w:val="Normal"/>
    <w:link w:val="SidehovedTegn"/>
    <w:uiPriority w:val="99"/>
    <w:semiHidden/>
    <w:unhideWhenUsed/>
    <w:rsid w:val="00532AF3"/>
    <w:pPr>
      <w:tabs>
        <w:tab w:val="center" w:pos="4819"/>
        <w:tab w:val="right" w:pos="9638"/>
      </w:tabs>
    </w:pPr>
  </w:style>
  <w:style w:type="character" w:customStyle="1" w:styleId="SidehovedTegn">
    <w:name w:val="Sidehoved Tegn"/>
    <w:basedOn w:val="Standardskrifttypeiafsnit"/>
    <w:link w:val="Sidehoved"/>
    <w:uiPriority w:val="99"/>
    <w:semiHidden/>
    <w:rsid w:val="00532AF3"/>
    <w:rPr>
      <w:sz w:val="24"/>
      <w:szCs w:val="22"/>
      <w:lang w:val="da-DK" w:eastAsia="en-US"/>
    </w:rPr>
  </w:style>
  <w:style w:type="paragraph" w:styleId="Sidefod">
    <w:name w:val="footer"/>
    <w:basedOn w:val="Normal"/>
    <w:link w:val="SidefodTegn"/>
    <w:uiPriority w:val="99"/>
    <w:semiHidden/>
    <w:unhideWhenUsed/>
    <w:rsid w:val="00532AF3"/>
    <w:pPr>
      <w:tabs>
        <w:tab w:val="center" w:pos="4819"/>
        <w:tab w:val="right" w:pos="9638"/>
      </w:tabs>
    </w:pPr>
  </w:style>
  <w:style w:type="character" w:customStyle="1" w:styleId="SidefodTegn">
    <w:name w:val="Sidefod Tegn"/>
    <w:basedOn w:val="Standardskrifttypeiafsnit"/>
    <w:link w:val="Sidefod"/>
    <w:uiPriority w:val="99"/>
    <w:semiHidden/>
    <w:rsid w:val="00532AF3"/>
    <w:rPr>
      <w:sz w:val="24"/>
      <w:szCs w:val="22"/>
      <w:lang w:val="da-DK" w:eastAsia="en-US"/>
    </w:rPr>
  </w:style>
  <w:style w:type="paragraph" w:styleId="Listeafsnit">
    <w:name w:val="List Paragraph"/>
    <w:basedOn w:val="Normal"/>
    <w:uiPriority w:val="34"/>
    <w:qFormat/>
    <w:rsid w:val="00E60021"/>
    <w:pPr>
      <w:ind w:left="720"/>
      <w:contextualSpacing/>
    </w:pPr>
  </w:style>
  <w:style w:type="character" w:customStyle="1" w:styleId="TypografiFed">
    <w:name w:val="Typografi Fed"/>
    <w:basedOn w:val="Standardskrifttypeiafsnit"/>
    <w:rsid w:val="00E60021"/>
    <w:rPr>
      <w:rFonts w:ascii="Times New Roman" w:hAnsi="Times New Roman" w:cs="Times New Roman" w:hint="default"/>
      <w:b/>
      <w:bCs/>
      <w:sz w:val="24"/>
    </w:rPr>
  </w:style>
  <w:style w:type="character" w:customStyle="1" w:styleId="TypografiKursiv">
    <w:name w:val="Typografi Kursiv"/>
    <w:basedOn w:val="Standardskrifttypeiafsnit"/>
    <w:rsid w:val="00E60021"/>
    <w:rPr>
      <w:rFonts w:ascii="Times New Roman" w:hAnsi="Times New Roman" w:cs="Times New Roman" w:hint="default"/>
      <w:i/>
      <w:iCs/>
      <w:sz w:val="24"/>
    </w:rPr>
  </w:style>
  <w:style w:type="table" w:styleId="Tabel-Gitter">
    <w:name w:val="Table Grid"/>
    <w:basedOn w:val="Tabel-Normal"/>
    <w:uiPriority w:val="59"/>
    <w:rsid w:val="00E6002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uiPriority w:val="59"/>
    <w:locked/>
    <w:rsid w:val="00E6002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41267D"/>
    <w:rPr>
      <w:sz w:val="16"/>
      <w:szCs w:val="16"/>
    </w:rPr>
  </w:style>
  <w:style w:type="paragraph" w:styleId="Kommentartekst">
    <w:name w:val="annotation text"/>
    <w:basedOn w:val="Normal"/>
    <w:link w:val="KommentartekstTegn"/>
    <w:uiPriority w:val="99"/>
    <w:semiHidden/>
    <w:unhideWhenUsed/>
    <w:rsid w:val="0041267D"/>
    <w:rPr>
      <w:sz w:val="20"/>
      <w:szCs w:val="20"/>
    </w:rPr>
  </w:style>
  <w:style w:type="character" w:customStyle="1" w:styleId="KommentartekstTegn">
    <w:name w:val="Kommentartekst Tegn"/>
    <w:basedOn w:val="Standardskrifttypeiafsnit"/>
    <w:link w:val="Kommentartekst"/>
    <w:uiPriority w:val="99"/>
    <w:semiHidden/>
    <w:rsid w:val="0041267D"/>
    <w:rPr>
      <w:sz w:val="20"/>
      <w:szCs w:val="20"/>
    </w:rPr>
  </w:style>
  <w:style w:type="paragraph" w:styleId="Kommentaremne">
    <w:name w:val="annotation subject"/>
    <w:basedOn w:val="Kommentartekst"/>
    <w:next w:val="Kommentartekst"/>
    <w:link w:val="KommentaremneTegn"/>
    <w:uiPriority w:val="99"/>
    <w:semiHidden/>
    <w:unhideWhenUsed/>
    <w:rsid w:val="0041267D"/>
    <w:rPr>
      <w:b/>
      <w:bCs/>
    </w:rPr>
  </w:style>
  <w:style w:type="character" w:customStyle="1" w:styleId="KommentaremneTegn">
    <w:name w:val="Kommentaremne Tegn"/>
    <w:basedOn w:val="KommentartekstTegn"/>
    <w:link w:val="Kommentaremne"/>
    <w:uiPriority w:val="99"/>
    <w:semiHidden/>
    <w:rsid w:val="0041267D"/>
    <w:rPr>
      <w:b/>
      <w:bCs/>
      <w:sz w:val="20"/>
      <w:szCs w:val="20"/>
    </w:rPr>
  </w:style>
  <w:style w:type="paragraph" w:styleId="Korrektur">
    <w:name w:val="Revision"/>
    <w:hidden/>
    <w:uiPriority w:val="99"/>
    <w:semiHidden/>
    <w:rsid w:val="0041267D"/>
  </w:style>
  <w:style w:type="character" w:styleId="Pladsholdertekst">
    <w:name w:val="Placeholder Text"/>
    <w:basedOn w:val="Standardskrifttypeiafsnit"/>
    <w:uiPriority w:val="99"/>
    <w:semiHidden/>
    <w:rsid w:val="0020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0370">
      <w:bodyDiv w:val="1"/>
      <w:marLeft w:val="0"/>
      <w:marRight w:val="0"/>
      <w:marTop w:val="0"/>
      <w:marBottom w:val="0"/>
      <w:divBdr>
        <w:top w:val="none" w:sz="0" w:space="0" w:color="auto"/>
        <w:left w:val="none" w:sz="0" w:space="0" w:color="auto"/>
        <w:bottom w:val="none" w:sz="0" w:space="0" w:color="auto"/>
        <w:right w:val="none" w:sz="0" w:space="0" w:color="auto"/>
      </w:divBdr>
    </w:div>
    <w:div w:id="205339046">
      <w:bodyDiv w:val="1"/>
      <w:marLeft w:val="0"/>
      <w:marRight w:val="0"/>
      <w:marTop w:val="0"/>
      <w:marBottom w:val="0"/>
      <w:divBdr>
        <w:top w:val="none" w:sz="0" w:space="0" w:color="auto"/>
        <w:left w:val="none" w:sz="0" w:space="0" w:color="auto"/>
        <w:bottom w:val="none" w:sz="0" w:space="0" w:color="auto"/>
        <w:right w:val="none" w:sz="0" w:space="0" w:color="auto"/>
      </w:divBdr>
    </w:div>
    <w:div w:id="283267357">
      <w:bodyDiv w:val="1"/>
      <w:marLeft w:val="0"/>
      <w:marRight w:val="0"/>
      <w:marTop w:val="0"/>
      <w:marBottom w:val="0"/>
      <w:divBdr>
        <w:top w:val="none" w:sz="0" w:space="0" w:color="auto"/>
        <w:left w:val="none" w:sz="0" w:space="0" w:color="auto"/>
        <w:bottom w:val="none" w:sz="0" w:space="0" w:color="auto"/>
        <w:right w:val="none" w:sz="0" w:space="0" w:color="auto"/>
      </w:divBdr>
    </w:div>
    <w:div w:id="303049767">
      <w:bodyDiv w:val="1"/>
      <w:marLeft w:val="0"/>
      <w:marRight w:val="0"/>
      <w:marTop w:val="0"/>
      <w:marBottom w:val="0"/>
      <w:divBdr>
        <w:top w:val="none" w:sz="0" w:space="0" w:color="auto"/>
        <w:left w:val="none" w:sz="0" w:space="0" w:color="auto"/>
        <w:bottom w:val="none" w:sz="0" w:space="0" w:color="auto"/>
        <w:right w:val="none" w:sz="0" w:space="0" w:color="auto"/>
      </w:divBdr>
    </w:div>
    <w:div w:id="320932243">
      <w:bodyDiv w:val="1"/>
      <w:marLeft w:val="0"/>
      <w:marRight w:val="0"/>
      <w:marTop w:val="0"/>
      <w:marBottom w:val="0"/>
      <w:divBdr>
        <w:top w:val="none" w:sz="0" w:space="0" w:color="auto"/>
        <w:left w:val="none" w:sz="0" w:space="0" w:color="auto"/>
        <w:bottom w:val="none" w:sz="0" w:space="0" w:color="auto"/>
        <w:right w:val="none" w:sz="0" w:space="0" w:color="auto"/>
      </w:divBdr>
    </w:div>
    <w:div w:id="357120482">
      <w:bodyDiv w:val="1"/>
      <w:marLeft w:val="0"/>
      <w:marRight w:val="0"/>
      <w:marTop w:val="0"/>
      <w:marBottom w:val="0"/>
      <w:divBdr>
        <w:top w:val="none" w:sz="0" w:space="0" w:color="auto"/>
        <w:left w:val="none" w:sz="0" w:space="0" w:color="auto"/>
        <w:bottom w:val="none" w:sz="0" w:space="0" w:color="auto"/>
        <w:right w:val="none" w:sz="0" w:space="0" w:color="auto"/>
      </w:divBdr>
    </w:div>
    <w:div w:id="435102274">
      <w:bodyDiv w:val="1"/>
      <w:marLeft w:val="0"/>
      <w:marRight w:val="0"/>
      <w:marTop w:val="0"/>
      <w:marBottom w:val="0"/>
      <w:divBdr>
        <w:top w:val="none" w:sz="0" w:space="0" w:color="auto"/>
        <w:left w:val="none" w:sz="0" w:space="0" w:color="auto"/>
        <w:bottom w:val="none" w:sz="0" w:space="0" w:color="auto"/>
        <w:right w:val="none" w:sz="0" w:space="0" w:color="auto"/>
      </w:divBdr>
    </w:div>
    <w:div w:id="528840260">
      <w:bodyDiv w:val="1"/>
      <w:marLeft w:val="0"/>
      <w:marRight w:val="0"/>
      <w:marTop w:val="0"/>
      <w:marBottom w:val="0"/>
      <w:divBdr>
        <w:top w:val="none" w:sz="0" w:space="0" w:color="auto"/>
        <w:left w:val="none" w:sz="0" w:space="0" w:color="auto"/>
        <w:bottom w:val="none" w:sz="0" w:space="0" w:color="auto"/>
        <w:right w:val="none" w:sz="0" w:space="0" w:color="auto"/>
      </w:divBdr>
    </w:div>
    <w:div w:id="701394074">
      <w:bodyDiv w:val="1"/>
      <w:marLeft w:val="0"/>
      <w:marRight w:val="0"/>
      <w:marTop w:val="0"/>
      <w:marBottom w:val="0"/>
      <w:divBdr>
        <w:top w:val="none" w:sz="0" w:space="0" w:color="auto"/>
        <w:left w:val="none" w:sz="0" w:space="0" w:color="auto"/>
        <w:bottom w:val="none" w:sz="0" w:space="0" w:color="auto"/>
        <w:right w:val="none" w:sz="0" w:space="0" w:color="auto"/>
      </w:divBdr>
    </w:div>
    <w:div w:id="706950092">
      <w:bodyDiv w:val="1"/>
      <w:marLeft w:val="0"/>
      <w:marRight w:val="0"/>
      <w:marTop w:val="0"/>
      <w:marBottom w:val="0"/>
      <w:divBdr>
        <w:top w:val="none" w:sz="0" w:space="0" w:color="auto"/>
        <w:left w:val="none" w:sz="0" w:space="0" w:color="auto"/>
        <w:bottom w:val="none" w:sz="0" w:space="0" w:color="auto"/>
        <w:right w:val="none" w:sz="0" w:space="0" w:color="auto"/>
      </w:divBdr>
    </w:div>
    <w:div w:id="848058286">
      <w:bodyDiv w:val="1"/>
      <w:marLeft w:val="0"/>
      <w:marRight w:val="0"/>
      <w:marTop w:val="0"/>
      <w:marBottom w:val="0"/>
      <w:divBdr>
        <w:top w:val="none" w:sz="0" w:space="0" w:color="auto"/>
        <w:left w:val="none" w:sz="0" w:space="0" w:color="auto"/>
        <w:bottom w:val="none" w:sz="0" w:space="0" w:color="auto"/>
        <w:right w:val="none" w:sz="0" w:space="0" w:color="auto"/>
      </w:divBdr>
    </w:div>
    <w:div w:id="1203054809">
      <w:bodyDiv w:val="1"/>
      <w:marLeft w:val="0"/>
      <w:marRight w:val="0"/>
      <w:marTop w:val="0"/>
      <w:marBottom w:val="0"/>
      <w:divBdr>
        <w:top w:val="none" w:sz="0" w:space="0" w:color="auto"/>
        <w:left w:val="none" w:sz="0" w:space="0" w:color="auto"/>
        <w:bottom w:val="none" w:sz="0" w:space="0" w:color="auto"/>
        <w:right w:val="none" w:sz="0" w:space="0" w:color="auto"/>
      </w:divBdr>
    </w:div>
    <w:div w:id="1294600030">
      <w:bodyDiv w:val="1"/>
      <w:marLeft w:val="0"/>
      <w:marRight w:val="0"/>
      <w:marTop w:val="0"/>
      <w:marBottom w:val="0"/>
      <w:divBdr>
        <w:top w:val="none" w:sz="0" w:space="0" w:color="auto"/>
        <w:left w:val="none" w:sz="0" w:space="0" w:color="auto"/>
        <w:bottom w:val="none" w:sz="0" w:space="0" w:color="auto"/>
        <w:right w:val="none" w:sz="0" w:space="0" w:color="auto"/>
      </w:divBdr>
    </w:div>
    <w:div w:id="1370228346">
      <w:bodyDiv w:val="1"/>
      <w:marLeft w:val="0"/>
      <w:marRight w:val="0"/>
      <w:marTop w:val="0"/>
      <w:marBottom w:val="0"/>
      <w:divBdr>
        <w:top w:val="none" w:sz="0" w:space="0" w:color="auto"/>
        <w:left w:val="none" w:sz="0" w:space="0" w:color="auto"/>
        <w:bottom w:val="none" w:sz="0" w:space="0" w:color="auto"/>
        <w:right w:val="none" w:sz="0" w:space="0" w:color="auto"/>
      </w:divBdr>
    </w:div>
    <w:div w:id="1493764251">
      <w:bodyDiv w:val="1"/>
      <w:marLeft w:val="0"/>
      <w:marRight w:val="0"/>
      <w:marTop w:val="0"/>
      <w:marBottom w:val="0"/>
      <w:divBdr>
        <w:top w:val="none" w:sz="0" w:space="0" w:color="auto"/>
        <w:left w:val="none" w:sz="0" w:space="0" w:color="auto"/>
        <w:bottom w:val="none" w:sz="0" w:space="0" w:color="auto"/>
        <w:right w:val="none" w:sz="0" w:space="0" w:color="auto"/>
      </w:divBdr>
    </w:div>
    <w:div w:id="1549685543">
      <w:bodyDiv w:val="1"/>
      <w:marLeft w:val="0"/>
      <w:marRight w:val="0"/>
      <w:marTop w:val="0"/>
      <w:marBottom w:val="0"/>
      <w:divBdr>
        <w:top w:val="none" w:sz="0" w:space="0" w:color="auto"/>
        <w:left w:val="none" w:sz="0" w:space="0" w:color="auto"/>
        <w:bottom w:val="none" w:sz="0" w:space="0" w:color="auto"/>
        <w:right w:val="none" w:sz="0" w:space="0" w:color="auto"/>
      </w:divBdr>
    </w:div>
    <w:div w:id="1671521408">
      <w:bodyDiv w:val="1"/>
      <w:marLeft w:val="0"/>
      <w:marRight w:val="0"/>
      <w:marTop w:val="0"/>
      <w:marBottom w:val="0"/>
      <w:divBdr>
        <w:top w:val="none" w:sz="0" w:space="0" w:color="auto"/>
        <w:left w:val="none" w:sz="0" w:space="0" w:color="auto"/>
        <w:bottom w:val="none" w:sz="0" w:space="0" w:color="auto"/>
        <w:right w:val="none" w:sz="0" w:space="0" w:color="auto"/>
      </w:divBdr>
    </w:div>
    <w:div w:id="1744836808">
      <w:bodyDiv w:val="1"/>
      <w:marLeft w:val="0"/>
      <w:marRight w:val="0"/>
      <w:marTop w:val="0"/>
      <w:marBottom w:val="0"/>
      <w:divBdr>
        <w:top w:val="none" w:sz="0" w:space="0" w:color="auto"/>
        <w:left w:val="none" w:sz="0" w:space="0" w:color="auto"/>
        <w:bottom w:val="none" w:sz="0" w:space="0" w:color="auto"/>
        <w:right w:val="none" w:sz="0" w:space="0" w:color="auto"/>
      </w:divBdr>
    </w:div>
    <w:div w:id="1894387545">
      <w:bodyDiv w:val="1"/>
      <w:marLeft w:val="0"/>
      <w:marRight w:val="0"/>
      <w:marTop w:val="0"/>
      <w:marBottom w:val="0"/>
      <w:divBdr>
        <w:top w:val="none" w:sz="0" w:space="0" w:color="auto"/>
        <w:left w:val="none" w:sz="0" w:space="0" w:color="auto"/>
        <w:bottom w:val="none" w:sz="0" w:space="0" w:color="auto"/>
        <w:right w:val="none" w:sz="0" w:space="0" w:color="auto"/>
      </w:divBdr>
    </w:div>
    <w:div w:id="1925726981">
      <w:bodyDiv w:val="1"/>
      <w:marLeft w:val="0"/>
      <w:marRight w:val="0"/>
      <w:marTop w:val="0"/>
      <w:marBottom w:val="0"/>
      <w:divBdr>
        <w:top w:val="none" w:sz="0" w:space="0" w:color="auto"/>
        <w:left w:val="none" w:sz="0" w:space="0" w:color="auto"/>
        <w:bottom w:val="none" w:sz="0" w:space="0" w:color="auto"/>
        <w:right w:val="none" w:sz="0" w:space="0" w:color="auto"/>
      </w:divBdr>
    </w:div>
    <w:div w:id="1945459175">
      <w:bodyDiv w:val="1"/>
      <w:marLeft w:val="0"/>
      <w:marRight w:val="0"/>
      <w:marTop w:val="0"/>
      <w:marBottom w:val="0"/>
      <w:divBdr>
        <w:top w:val="none" w:sz="0" w:space="0" w:color="auto"/>
        <w:left w:val="none" w:sz="0" w:space="0" w:color="auto"/>
        <w:bottom w:val="none" w:sz="0" w:space="0" w:color="auto"/>
        <w:right w:val="none" w:sz="0" w:space="0" w:color="auto"/>
      </w:divBdr>
    </w:div>
    <w:div w:id="20147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62023\My%20Documents\Brugerdefinerede%20Office-skabeloner\Uppskot%20til%20broytingarl&#248;gtingsl&#243;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8AA6B117DE406C9DB93DEB2C9E35E8"/>
        <w:category>
          <w:name w:val="Generelt"/>
          <w:gallery w:val="placeholder"/>
        </w:category>
        <w:types>
          <w:type w:val="bbPlcHdr"/>
        </w:types>
        <w:behaviors>
          <w:behavior w:val="content"/>
        </w:behaviors>
        <w:guid w:val="{19EC29C3-9BB5-4950-BF4A-386E8716BE31}"/>
      </w:docPartPr>
      <w:docPartBody>
        <w:p w:rsidR="00606319" w:rsidRDefault="006A0D74">
          <w:pPr>
            <w:pStyle w:val="D58AA6B117DE406C9DB93DEB2C9E35E8"/>
          </w:pPr>
          <w:r>
            <w:rPr>
              <w:rStyle w:val="Pladsholdertekst"/>
            </w:rPr>
            <w:t>Choose an item.</w:t>
          </w:r>
        </w:p>
      </w:docPartBody>
    </w:docPart>
    <w:docPart>
      <w:docPartPr>
        <w:name w:val="C0102732E438477B8B2537D67378081F"/>
        <w:category>
          <w:name w:val="Generelt"/>
          <w:gallery w:val="placeholder"/>
        </w:category>
        <w:types>
          <w:type w:val="bbPlcHdr"/>
        </w:types>
        <w:behaviors>
          <w:behavior w:val="content"/>
        </w:behaviors>
        <w:guid w:val="{FB52E9CB-A8F8-4E59-9481-C10450D71946}"/>
      </w:docPartPr>
      <w:docPartBody>
        <w:p w:rsidR="00606319" w:rsidRDefault="006A0D74">
          <w:pPr>
            <w:pStyle w:val="C0102732E438477B8B2537D67378081F"/>
          </w:pPr>
          <w:r>
            <w:rPr>
              <w:rStyle w:val="Pladsholdertekst"/>
            </w:rPr>
            <w:t>Choose an item.</w:t>
          </w:r>
        </w:p>
      </w:docPartBody>
    </w:docPart>
    <w:docPart>
      <w:docPartPr>
        <w:name w:val="6FAD92F09DE54892ACD4F5C87A2F2A87"/>
        <w:category>
          <w:name w:val="Generelt"/>
          <w:gallery w:val="placeholder"/>
        </w:category>
        <w:types>
          <w:type w:val="bbPlcHdr"/>
        </w:types>
        <w:behaviors>
          <w:behavior w:val="content"/>
        </w:behaviors>
        <w:guid w:val="{C6B977F7-3600-4A68-9902-4E062B59AF39}"/>
      </w:docPartPr>
      <w:docPartBody>
        <w:p w:rsidR="00606319" w:rsidRDefault="006A0D74">
          <w:pPr>
            <w:pStyle w:val="6FAD92F09DE54892ACD4F5C87A2F2A87"/>
          </w:pPr>
          <w:r>
            <w:rPr>
              <w:rStyle w:val="Pladsholdertekst"/>
            </w:rPr>
            <w:t>Choose an item.</w:t>
          </w:r>
        </w:p>
      </w:docPartBody>
    </w:docPart>
    <w:docPart>
      <w:docPartPr>
        <w:name w:val="4941FBC0F63243C1B107B2934C806055"/>
        <w:category>
          <w:name w:val="Generelt"/>
          <w:gallery w:val="placeholder"/>
        </w:category>
        <w:types>
          <w:type w:val="bbPlcHdr"/>
        </w:types>
        <w:behaviors>
          <w:behavior w:val="content"/>
        </w:behaviors>
        <w:guid w:val="{592026A0-6D11-4BA9-B5CF-D9FB70A29F51}"/>
      </w:docPartPr>
      <w:docPartBody>
        <w:p w:rsidR="00606319" w:rsidRDefault="006A0D74">
          <w:pPr>
            <w:pStyle w:val="4941FBC0F63243C1B107B2934C806055"/>
          </w:pPr>
          <w:r>
            <w:rPr>
              <w:rStyle w:val="Pladsholdertekst"/>
            </w:rPr>
            <w:t>Choose an item.</w:t>
          </w:r>
        </w:p>
      </w:docPartBody>
    </w:docPart>
    <w:docPart>
      <w:docPartPr>
        <w:name w:val="12928606283A4053A2CBEB6A3A108612"/>
        <w:category>
          <w:name w:val="Generelt"/>
          <w:gallery w:val="placeholder"/>
        </w:category>
        <w:types>
          <w:type w:val="bbPlcHdr"/>
        </w:types>
        <w:behaviors>
          <w:behavior w:val="content"/>
        </w:behaviors>
        <w:guid w:val="{510B0308-D9BD-4D5F-ADFC-95748F990DDB}"/>
      </w:docPartPr>
      <w:docPartBody>
        <w:p w:rsidR="00606319" w:rsidRDefault="006A0D74">
          <w:pPr>
            <w:pStyle w:val="12928606283A4053A2CBEB6A3A108612"/>
          </w:pPr>
          <w:r>
            <w:rPr>
              <w:rStyle w:val="Pladsholdertekst"/>
            </w:rPr>
            <w:t>Choose an item.</w:t>
          </w:r>
        </w:p>
      </w:docPartBody>
    </w:docPart>
    <w:docPart>
      <w:docPartPr>
        <w:name w:val="109BE2C0C0424DB79002A175E6287E5D"/>
        <w:category>
          <w:name w:val="Generelt"/>
          <w:gallery w:val="placeholder"/>
        </w:category>
        <w:types>
          <w:type w:val="bbPlcHdr"/>
        </w:types>
        <w:behaviors>
          <w:behavior w:val="content"/>
        </w:behaviors>
        <w:guid w:val="{08506EAB-1DED-4455-8CA6-970FCC421C50}"/>
      </w:docPartPr>
      <w:docPartBody>
        <w:p w:rsidR="00606319" w:rsidRDefault="006A0D74">
          <w:pPr>
            <w:pStyle w:val="109BE2C0C0424DB79002A175E6287E5D"/>
          </w:pPr>
          <w:r>
            <w:rPr>
              <w:rStyle w:val="Pladsholdertekst"/>
            </w:rPr>
            <w:t>Choose an item.</w:t>
          </w:r>
        </w:p>
      </w:docPartBody>
    </w:docPart>
    <w:docPart>
      <w:docPartPr>
        <w:name w:val="307A892DACFA481CB60E4E4458791792"/>
        <w:category>
          <w:name w:val="Generelt"/>
          <w:gallery w:val="placeholder"/>
        </w:category>
        <w:types>
          <w:type w:val="bbPlcHdr"/>
        </w:types>
        <w:behaviors>
          <w:behavior w:val="content"/>
        </w:behaviors>
        <w:guid w:val="{9005E5DD-858A-4123-A467-044AD06BFD5C}"/>
      </w:docPartPr>
      <w:docPartBody>
        <w:p w:rsidR="00606319" w:rsidRDefault="006A0D74">
          <w:pPr>
            <w:pStyle w:val="307A892DACFA481CB60E4E4458791792"/>
          </w:pPr>
          <w:r>
            <w:rPr>
              <w:rStyle w:val="Pladsholdertekst"/>
            </w:rPr>
            <w:t>Choose an item.</w:t>
          </w:r>
        </w:p>
      </w:docPartBody>
    </w:docPart>
    <w:docPart>
      <w:docPartPr>
        <w:name w:val="2101F787A1374ADD9574E9BE88F23539"/>
        <w:category>
          <w:name w:val="Generelt"/>
          <w:gallery w:val="placeholder"/>
        </w:category>
        <w:types>
          <w:type w:val="bbPlcHdr"/>
        </w:types>
        <w:behaviors>
          <w:behavior w:val="content"/>
        </w:behaviors>
        <w:guid w:val="{30CB16D1-6FFA-4E7E-950E-EA58B523FB26}"/>
      </w:docPartPr>
      <w:docPartBody>
        <w:p w:rsidR="00606319" w:rsidRDefault="006A0D74">
          <w:pPr>
            <w:pStyle w:val="2101F787A1374ADD9574E9BE88F23539"/>
          </w:pPr>
          <w:r>
            <w:rPr>
              <w:rStyle w:val="Pladsholdertekst"/>
            </w:rPr>
            <w:t>Choose an item.</w:t>
          </w:r>
        </w:p>
      </w:docPartBody>
    </w:docPart>
    <w:docPart>
      <w:docPartPr>
        <w:name w:val="38D399C752A24706A31899876E83DF43"/>
        <w:category>
          <w:name w:val="Generelt"/>
          <w:gallery w:val="placeholder"/>
        </w:category>
        <w:types>
          <w:type w:val="bbPlcHdr"/>
        </w:types>
        <w:behaviors>
          <w:behavior w:val="content"/>
        </w:behaviors>
        <w:guid w:val="{451CF8C4-F24E-4E1C-B681-E939662F814E}"/>
      </w:docPartPr>
      <w:docPartBody>
        <w:p w:rsidR="00606319" w:rsidRDefault="006A0D74">
          <w:pPr>
            <w:pStyle w:val="38D399C752A24706A31899876E83DF43"/>
          </w:pPr>
          <w:r>
            <w:rPr>
              <w:rStyle w:val="Pladsholdertekst"/>
            </w:rPr>
            <w:t>Choose an item.</w:t>
          </w:r>
        </w:p>
      </w:docPartBody>
    </w:docPart>
    <w:docPart>
      <w:docPartPr>
        <w:name w:val="BC8A4B236D1B4961AD64B5F5092304F1"/>
        <w:category>
          <w:name w:val="Generelt"/>
          <w:gallery w:val="placeholder"/>
        </w:category>
        <w:types>
          <w:type w:val="bbPlcHdr"/>
        </w:types>
        <w:behaviors>
          <w:behavior w:val="content"/>
        </w:behaviors>
        <w:guid w:val="{02AC720A-C19F-42FD-9D09-E939D7DA5D10}"/>
      </w:docPartPr>
      <w:docPartBody>
        <w:p w:rsidR="00606319" w:rsidRDefault="006A0D74">
          <w:pPr>
            <w:pStyle w:val="BC8A4B236D1B4961AD64B5F5092304F1"/>
          </w:pPr>
          <w:r>
            <w:rPr>
              <w:rStyle w:val="Pladsholdertekst"/>
            </w:rPr>
            <w:t>Choose an item.</w:t>
          </w:r>
        </w:p>
      </w:docPartBody>
    </w:docPart>
    <w:docPart>
      <w:docPartPr>
        <w:name w:val="970806F86C1B47748154B1740FD68A35"/>
        <w:category>
          <w:name w:val="Generelt"/>
          <w:gallery w:val="placeholder"/>
        </w:category>
        <w:types>
          <w:type w:val="bbPlcHdr"/>
        </w:types>
        <w:behaviors>
          <w:behavior w:val="content"/>
        </w:behaviors>
        <w:guid w:val="{914D0F22-1015-4101-863E-F2586E2DA0FA}"/>
      </w:docPartPr>
      <w:docPartBody>
        <w:p w:rsidR="00606319" w:rsidRDefault="006A0D74">
          <w:pPr>
            <w:pStyle w:val="970806F86C1B47748154B1740FD68A35"/>
          </w:pPr>
          <w:r>
            <w:rPr>
              <w:rStyle w:val="Pladsholdertekst"/>
            </w:rPr>
            <w:t>Choose an item.</w:t>
          </w:r>
        </w:p>
      </w:docPartBody>
    </w:docPart>
    <w:docPart>
      <w:docPartPr>
        <w:name w:val="57AA0BE6F90E4A9E98B3B3D9566E7E09"/>
        <w:category>
          <w:name w:val="Generelt"/>
          <w:gallery w:val="placeholder"/>
        </w:category>
        <w:types>
          <w:type w:val="bbPlcHdr"/>
        </w:types>
        <w:behaviors>
          <w:behavior w:val="content"/>
        </w:behaviors>
        <w:guid w:val="{317B76DE-0F73-4FB8-BEFE-9D3F780F9933}"/>
      </w:docPartPr>
      <w:docPartBody>
        <w:p w:rsidR="00606319" w:rsidRDefault="006A0D74">
          <w:pPr>
            <w:pStyle w:val="57AA0BE6F90E4A9E98B3B3D9566E7E09"/>
          </w:pPr>
          <w:r>
            <w:rPr>
              <w:rStyle w:val="Pladsholdertekst"/>
            </w:rPr>
            <w:t>Choose an item.</w:t>
          </w:r>
        </w:p>
      </w:docPartBody>
    </w:docPart>
    <w:docPart>
      <w:docPartPr>
        <w:name w:val="24FF557617BA422584DE17D731ACA87E"/>
        <w:category>
          <w:name w:val="Generelt"/>
          <w:gallery w:val="placeholder"/>
        </w:category>
        <w:types>
          <w:type w:val="bbPlcHdr"/>
        </w:types>
        <w:behaviors>
          <w:behavior w:val="content"/>
        </w:behaviors>
        <w:guid w:val="{8E242698-205E-45C4-9CEF-A4175E71D40A}"/>
      </w:docPartPr>
      <w:docPartBody>
        <w:p w:rsidR="00606319" w:rsidRDefault="006A0D74">
          <w:pPr>
            <w:pStyle w:val="24FF557617BA422584DE17D731ACA87E"/>
          </w:pPr>
          <w:r>
            <w:rPr>
              <w:rStyle w:val="Pladsholdertekst"/>
            </w:rPr>
            <w:t>Choose an item.</w:t>
          </w:r>
        </w:p>
      </w:docPartBody>
    </w:docPart>
    <w:docPart>
      <w:docPartPr>
        <w:name w:val="0C8A9E75AC584EA0BF1941CFE4A7A44C"/>
        <w:category>
          <w:name w:val="Generelt"/>
          <w:gallery w:val="placeholder"/>
        </w:category>
        <w:types>
          <w:type w:val="bbPlcHdr"/>
        </w:types>
        <w:behaviors>
          <w:behavior w:val="content"/>
        </w:behaviors>
        <w:guid w:val="{2847DE61-9D8A-40FC-96B0-1B32DCD0085A}"/>
      </w:docPartPr>
      <w:docPartBody>
        <w:p w:rsidR="00606319" w:rsidRDefault="006A0D74">
          <w:pPr>
            <w:pStyle w:val="0C8A9E75AC584EA0BF1941CFE4A7A44C"/>
          </w:pPr>
          <w:r>
            <w:rPr>
              <w:rStyle w:val="Pladsholdertekst"/>
            </w:rPr>
            <w:t>Choose an item.</w:t>
          </w:r>
        </w:p>
      </w:docPartBody>
    </w:docPart>
    <w:docPart>
      <w:docPartPr>
        <w:name w:val="701BE18FCBFC4F0C91972D93BA0C9007"/>
        <w:category>
          <w:name w:val="Generelt"/>
          <w:gallery w:val="placeholder"/>
        </w:category>
        <w:types>
          <w:type w:val="bbPlcHdr"/>
        </w:types>
        <w:behaviors>
          <w:behavior w:val="content"/>
        </w:behaviors>
        <w:guid w:val="{C5E55F20-4479-43E4-B3BB-A299F8B007FC}"/>
      </w:docPartPr>
      <w:docPartBody>
        <w:p w:rsidR="00606319" w:rsidRDefault="006A0D74">
          <w:pPr>
            <w:pStyle w:val="701BE18FCBFC4F0C91972D93BA0C9007"/>
          </w:pPr>
          <w:r>
            <w:rPr>
              <w:rStyle w:val="Pladsholdertekst"/>
            </w:rPr>
            <w:t>Choose an item.</w:t>
          </w:r>
        </w:p>
      </w:docPartBody>
    </w:docPart>
    <w:docPart>
      <w:docPartPr>
        <w:name w:val="4C26038C27144616BAF7A215D2FC9056"/>
        <w:category>
          <w:name w:val="Generelt"/>
          <w:gallery w:val="placeholder"/>
        </w:category>
        <w:types>
          <w:type w:val="bbPlcHdr"/>
        </w:types>
        <w:behaviors>
          <w:behavior w:val="content"/>
        </w:behaviors>
        <w:guid w:val="{758BCA1A-E3BB-41FD-B183-6105431A4896}"/>
      </w:docPartPr>
      <w:docPartBody>
        <w:p w:rsidR="00606319" w:rsidRDefault="006A0D74">
          <w:pPr>
            <w:pStyle w:val="4C26038C27144616BAF7A215D2FC9056"/>
          </w:pPr>
          <w:r>
            <w:rPr>
              <w:rStyle w:val="Pladsholdertekst"/>
            </w:rPr>
            <w:t>Choose an item.</w:t>
          </w:r>
        </w:p>
      </w:docPartBody>
    </w:docPart>
    <w:docPart>
      <w:docPartPr>
        <w:name w:val="A078AE7ED76A4E86AACD0968EB743687"/>
        <w:category>
          <w:name w:val="Generelt"/>
          <w:gallery w:val="placeholder"/>
        </w:category>
        <w:types>
          <w:type w:val="bbPlcHdr"/>
        </w:types>
        <w:behaviors>
          <w:behavior w:val="content"/>
        </w:behaviors>
        <w:guid w:val="{5DEE46D6-0619-4B9C-92B8-54677B115078}"/>
      </w:docPartPr>
      <w:docPartBody>
        <w:p w:rsidR="00606319" w:rsidRDefault="006A0D74">
          <w:pPr>
            <w:pStyle w:val="A078AE7ED76A4E86AACD0968EB743687"/>
          </w:pPr>
          <w:r>
            <w:rPr>
              <w:rStyle w:val="Pladsholdertekst"/>
            </w:rPr>
            <w:t>Choose an item.</w:t>
          </w:r>
        </w:p>
      </w:docPartBody>
    </w:docPart>
    <w:docPart>
      <w:docPartPr>
        <w:name w:val="FD4FD9A7A5124515AC2DFEF5BB4F30A9"/>
        <w:category>
          <w:name w:val="Generelt"/>
          <w:gallery w:val="placeholder"/>
        </w:category>
        <w:types>
          <w:type w:val="bbPlcHdr"/>
        </w:types>
        <w:behaviors>
          <w:behavior w:val="content"/>
        </w:behaviors>
        <w:guid w:val="{0D8D8E49-340C-4D1B-B40C-13FD69098E8C}"/>
      </w:docPartPr>
      <w:docPartBody>
        <w:p w:rsidR="00606319" w:rsidRDefault="006A0D74">
          <w:pPr>
            <w:pStyle w:val="FD4FD9A7A5124515AC2DFEF5BB4F30A9"/>
          </w:pPr>
          <w:r>
            <w:rPr>
              <w:rStyle w:val="Pladsholdertekst"/>
            </w:rPr>
            <w:t>Choose an item.</w:t>
          </w:r>
        </w:p>
      </w:docPartBody>
    </w:docPart>
    <w:docPart>
      <w:docPartPr>
        <w:name w:val="0FCD526AAC1D43C0A6818B6FC537B9E4"/>
        <w:category>
          <w:name w:val="Generelt"/>
          <w:gallery w:val="placeholder"/>
        </w:category>
        <w:types>
          <w:type w:val="bbPlcHdr"/>
        </w:types>
        <w:behaviors>
          <w:behavior w:val="content"/>
        </w:behaviors>
        <w:guid w:val="{383F21D5-F20D-4D0F-A073-DD2EFCE67A2A}"/>
      </w:docPartPr>
      <w:docPartBody>
        <w:p w:rsidR="00606319" w:rsidRDefault="006A0D74">
          <w:pPr>
            <w:pStyle w:val="0FCD526AAC1D43C0A6818B6FC537B9E4"/>
          </w:pPr>
          <w:r>
            <w:rPr>
              <w:rStyle w:val="Pladsholdertekst"/>
            </w:rPr>
            <w:t>Choose an item.</w:t>
          </w:r>
        </w:p>
      </w:docPartBody>
    </w:docPart>
    <w:docPart>
      <w:docPartPr>
        <w:name w:val="69050EC3BEB047ECB83AA4BCED6DDFB3"/>
        <w:category>
          <w:name w:val="Generelt"/>
          <w:gallery w:val="placeholder"/>
        </w:category>
        <w:types>
          <w:type w:val="bbPlcHdr"/>
        </w:types>
        <w:behaviors>
          <w:behavior w:val="content"/>
        </w:behaviors>
        <w:guid w:val="{B51B2A56-F8BE-4AB0-A111-E158C217B278}"/>
      </w:docPartPr>
      <w:docPartBody>
        <w:p w:rsidR="00606319" w:rsidRDefault="006A0D74">
          <w:pPr>
            <w:pStyle w:val="69050EC3BEB047ECB83AA4BCED6DDFB3"/>
          </w:pPr>
          <w:r>
            <w:rPr>
              <w:rStyle w:val="Pladsholdertekst"/>
            </w:rPr>
            <w:t>Choose an item.</w:t>
          </w:r>
        </w:p>
      </w:docPartBody>
    </w:docPart>
    <w:docPart>
      <w:docPartPr>
        <w:name w:val="FEF38AF8C36D4105B9A676B79D05A980"/>
        <w:category>
          <w:name w:val="Generelt"/>
          <w:gallery w:val="placeholder"/>
        </w:category>
        <w:types>
          <w:type w:val="bbPlcHdr"/>
        </w:types>
        <w:behaviors>
          <w:behavior w:val="content"/>
        </w:behaviors>
        <w:guid w:val="{41E6035A-4E4C-4075-A10E-C42752C0374F}"/>
      </w:docPartPr>
      <w:docPartBody>
        <w:p w:rsidR="00606319" w:rsidRDefault="006A0D74">
          <w:pPr>
            <w:pStyle w:val="FEF38AF8C36D4105B9A676B79D05A980"/>
          </w:pPr>
          <w:r>
            <w:rPr>
              <w:rStyle w:val="Pladsholdertekst"/>
            </w:rPr>
            <w:t>Choose an item.</w:t>
          </w:r>
        </w:p>
      </w:docPartBody>
    </w:docPart>
    <w:docPart>
      <w:docPartPr>
        <w:name w:val="601063289B094D8CBF4EDEE10F6F6DD1"/>
        <w:category>
          <w:name w:val="Generelt"/>
          <w:gallery w:val="placeholder"/>
        </w:category>
        <w:types>
          <w:type w:val="bbPlcHdr"/>
        </w:types>
        <w:behaviors>
          <w:behavior w:val="content"/>
        </w:behaviors>
        <w:guid w:val="{9985AD3C-9289-4CFA-A56A-34BB0E599F00}"/>
      </w:docPartPr>
      <w:docPartBody>
        <w:p w:rsidR="00606319" w:rsidRDefault="006A0D74">
          <w:pPr>
            <w:pStyle w:val="601063289B094D8CBF4EDEE10F6F6DD1"/>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4"/>
    <w:rsid w:val="00066DC4"/>
    <w:rsid w:val="00073ECB"/>
    <w:rsid w:val="000B588D"/>
    <w:rsid w:val="002644AE"/>
    <w:rsid w:val="00274A2D"/>
    <w:rsid w:val="0029717D"/>
    <w:rsid w:val="0031199B"/>
    <w:rsid w:val="003318BF"/>
    <w:rsid w:val="003454CD"/>
    <w:rsid w:val="003A6C9C"/>
    <w:rsid w:val="00402597"/>
    <w:rsid w:val="00410FF9"/>
    <w:rsid w:val="00411072"/>
    <w:rsid w:val="0047547B"/>
    <w:rsid w:val="004D19B5"/>
    <w:rsid w:val="00513634"/>
    <w:rsid w:val="00580D3C"/>
    <w:rsid w:val="005A35FE"/>
    <w:rsid w:val="005B407F"/>
    <w:rsid w:val="005E54CE"/>
    <w:rsid w:val="00606319"/>
    <w:rsid w:val="00664502"/>
    <w:rsid w:val="00696D6D"/>
    <w:rsid w:val="006A0D74"/>
    <w:rsid w:val="0081267C"/>
    <w:rsid w:val="008B0C5E"/>
    <w:rsid w:val="008F3899"/>
    <w:rsid w:val="00A002F1"/>
    <w:rsid w:val="00A53A15"/>
    <w:rsid w:val="00B643F8"/>
    <w:rsid w:val="00C35BA2"/>
    <w:rsid w:val="00CD5C6B"/>
    <w:rsid w:val="00D772EF"/>
    <w:rsid w:val="00DB5D2C"/>
    <w:rsid w:val="00DC3F39"/>
    <w:rsid w:val="00E13A00"/>
    <w:rsid w:val="00ED4424"/>
    <w:rsid w:val="00EF5DD2"/>
    <w:rsid w:val="00F2148C"/>
    <w:rsid w:val="00F23EFF"/>
    <w:rsid w:val="00FD79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style>
  <w:style w:type="paragraph" w:customStyle="1" w:styleId="D58AA6B117DE406C9DB93DEB2C9E35E8">
    <w:name w:val="D58AA6B117DE406C9DB93DEB2C9E35E8"/>
  </w:style>
  <w:style w:type="paragraph" w:customStyle="1" w:styleId="C0102732E438477B8B2537D67378081F">
    <w:name w:val="C0102732E438477B8B2537D67378081F"/>
  </w:style>
  <w:style w:type="paragraph" w:customStyle="1" w:styleId="6FAD92F09DE54892ACD4F5C87A2F2A87">
    <w:name w:val="6FAD92F09DE54892ACD4F5C87A2F2A87"/>
  </w:style>
  <w:style w:type="paragraph" w:customStyle="1" w:styleId="4941FBC0F63243C1B107B2934C806055">
    <w:name w:val="4941FBC0F63243C1B107B2934C806055"/>
  </w:style>
  <w:style w:type="paragraph" w:customStyle="1" w:styleId="12928606283A4053A2CBEB6A3A108612">
    <w:name w:val="12928606283A4053A2CBEB6A3A108612"/>
  </w:style>
  <w:style w:type="paragraph" w:customStyle="1" w:styleId="109BE2C0C0424DB79002A175E6287E5D">
    <w:name w:val="109BE2C0C0424DB79002A175E6287E5D"/>
  </w:style>
  <w:style w:type="paragraph" w:customStyle="1" w:styleId="307A892DACFA481CB60E4E4458791792">
    <w:name w:val="307A892DACFA481CB60E4E4458791792"/>
  </w:style>
  <w:style w:type="paragraph" w:customStyle="1" w:styleId="2101F787A1374ADD9574E9BE88F23539">
    <w:name w:val="2101F787A1374ADD9574E9BE88F23539"/>
  </w:style>
  <w:style w:type="paragraph" w:customStyle="1" w:styleId="38D399C752A24706A31899876E83DF43">
    <w:name w:val="38D399C752A24706A31899876E83DF43"/>
  </w:style>
  <w:style w:type="paragraph" w:customStyle="1" w:styleId="BC8A4B236D1B4961AD64B5F5092304F1">
    <w:name w:val="BC8A4B236D1B4961AD64B5F5092304F1"/>
  </w:style>
  <w:style w:type="paragraph" w:customStyle="1" w:styleId="970806F86C1B47748154B1740FD68A35">
    <w:name w:val="970806F86C1B47748154B1740FD68A35"/>
  </w:style>
  <w:style w:type="paragraph" w:customStyle="1" w:styleId="57AA0BE6F90E4A9E98B3B3D9566E7E09">
    <w:name w:val="57AA0BE6F90E4A9E98B3B3D9566E7E09"/>
  </w:style>
  <w:style w:type="paragraph" w:customStyle="1" w:styleId="24FF557617BA422584DE17D731ACA87E">
    <w:name w:val="24FF557617BA422584DE17D731ACA87E"/>
  </w:style>
  <w:style w:type="paragraph" w:customStyle="1" w:styleId="0C8A9E75AC584EA0BF1941CFE4A7A44C">
    <w:name w:val="0C8A9E75AC584EA0BF1941CFE4A7A44C"/>
  </w:style>
  <w:style w:type="paragraph" w:customStyle="1" w:styleId="701BE18FCBFC4F0C91972D93BA0C9007">
    <w:name w:val="701BE18FCBFC4F0C91972D93BA0C9007"/>
  </w:style>
  <w:style w:type="paragraph" w:customStyle="1" w:styleId="4C26038C27144616BAF7A215D2FC9056">
    <w:name w:val="4C26038C27144616BAF7A215D2FC9056"/>
  </w:style>
  <w:style w:type="paragraph" w:customStyle="1" w:styleId="A078AE7ED76A4E86AACD0968EB743687">
    <w:name w:val="A078AE7ED76A4E86AACD0968EB743687"/>
  </w:style>
  <w:style w:type="paragraph" w:customStyle="1" w:styleId="FD4FD9A7A5124515AC2DFEF5BB4F30A9">
    <w:name w:val="FD4FD9A7A5124515AC2DFEF5BB4F30A9"/>
  </w:style>
  <w:style w:type="paragraph" w:customStyle="1" w:styleId="0FCD526AAC1D43C0A6818B6FC537B9E4">
    <w:name w:val="0FCD526AAC1D43C0A6818B6FC537B9E4"/>
  </w:style>
  <w:style w:type="paragraph" w:customStyle="1" w:styleId="69050EC3BEB047ECB83AA4BCED6DDFB3">
    <w:name w:val="69050EC3BEB047ECB83AA4BCED6DDFB3"/>
  </w:style>
  <w:style w:type="paragraph" w:customStyle="1" w:styleId="FEF38AF8C36D4105B9A676B79D05A980">
    <w:name w:val="FEF38AF8C36D4105B9A676B79D05A980"/>
  </w:style>
  <w:style w:type="paragraph" w:customStyle="1" w:styleId="601063289B094D8CBF4EDEE10F6F6DD1">
    <w:name w:val="601063289B094D8CBF4EDEE10F6F6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3D6F6-9753-46AF-B71E-2C218BCE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til broytingarløgtingslóg</Template>
  <TotalTime>277</TotalTime>
  <Pages>15</Pages>
  <Words>4276</Words>
  <Characters>26088</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Uppskot til broytingarløgtingslóg</vt:lpstr>
    </vt:vector>
  </TitlesOfParts>
  <Company>Lógartænastan</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broytingarløgtingslóg</dc:title>
  <dc:subject>Uppskot til broytingarløgtingslóg løgtingslóg</dc:subject>
  <dc:creator>Mortan Hentze</dc:creator>
  <cp:keywords>5. útgáva - desember 2020</cp:keywords>
  <dc:description>Uppskot til broytingarløgtingslóg - 5. útgáva -desember 2020</dc:description>
  <cp:lastModifiedBy>Ragnfríð Nord Anthoniussen</cp:lastModifiedBy>
  <cp:revision>29</cp:revision>
  <cp:lastPrinted>2023-02-06T14:18:00Z</cp:lastPrinted>
  <dcterms:created xsi:type="dcterms:W3CDTF">2023-03-04T12:07:00Z</dcterms:created>
  <dcterms:modified xsi:type="dcterms:W3CDTF">2023-03-07T12:49:00Z</dcterms:modified>
</cp:coreProperties>
</file>