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79C25" w14:textId="33E01755" w:rsidR="00895D86" w:rsidRPr="00B6538E" w:rsidRDefault="00895D86" w:rsidP="007F5AD6">
      <w:pPr>
        <w:jc w:val="center"/>
        <w:rPr>
          <w:rStyle w:val="TypografiFed"/>
          <w:lang w:val="fo-FO"/>
        </w:rPr>
      </w:pPr>
      <w:r w:rsidRPr="00B6538E">
        <w:rPr>
          <w:noProof/>
          <w:lang w:val="fo-FO" w:eastAsia="fo-FO"/>
        </w:rPr>
        <w:drawing>
          <wp:anchor distT="0" distB="0" distL="114300" distR="114300" simplePos="0" relativeHeight="251659264" behindDoc="0" locked="0" layoutInCell="1" allowOverlap="1" wp14:anchorId="6ABDFA80" wp14:editId="153FE069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AD6" w:rsidRPr="00B6538E">
        <w:rPr>
          <w:rFonts w:cs="Times New Roman"/>
          <w:b/>
          <w:sz w:val="32"/>
          <w:szCs w:val="32"/>
          <w:lang w:val="fo-FO"/>
        </w:rPr>
        <w:t>Uttanríkis- og vinnumálaráðið</w:t>
      </w:r>
    </w:p>
    <w:p w14:paraId="505DF28F" w14:textId="77777777" w:rsidR="00895D86" w:rsidRPr="00B6538E" w:rsidRDefault="00895D86" w:rsidP="00895D86">
      <w:pPr>
        <w:rPr>
          <w:lang w:val="fo-FO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3"/>
        <w:gridCol w:w="1629"/>
      </w:tblGrid>
      <w:tr w:rsidR="00173350" w:rsidRPr="00B6538E" w14:paraId="3D5B2B16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3F2F3DDA" w14:textId="77777777" w:rsidR="00173350" w:rsidRPr="00D33363" w:rsidRDefault="00173350">
            <w:pPr>
              <w:rPr>
                <w:sz w:val="22"/>
                <w:lang w:val="fo-FO" w:eastAsia="fo-FO"/>
              </w:rPr>
            </w:pPr>
            <w:r w:rsidRPr="00D33363">
              <w:rPr>
                <w:sz w:val="22"/>
                <w:lang w:val="fo-FO"/>
              </w:rPr>
              <w:t>Dagfesting:</w:t>
            </w:r>
            <w:r w:rsidRPr="00D33363">
              <w:rPr>
                <w:noProof/>
                <w:sz w:val="22"/>
                <w:lang w:val="fo-FO"/>
              </w:rPr>
              <w:t xml:space="preserve"> </w:t>
            </w:r>
          </w:p>
        </w:tc>
        <w:tc>
          <w:tcPr>
            <w:tcW w:w="1629" w:type="dxa"/>
            <w:hideMark/>
          </w:tcPr>
          <w:p w14:paraId="1264BAB3" w14:textId="03B3F1E5" w:rsidR="00173350" w:rsidRPr="00D33363" w:rsidRDefault="00435B8F">
            <w:pPr>
              <w:tabs>
                <w:tab w:val="center" w:pos="4513"/>
                <w:tab w:val="right" w:pos="9026"/>
              </w:tabs>
              <w:rPr>
                <w:sz w:val="22"/>
                <w:lang w:val="fo-FO"/>
              </w:rPr>
            </w:pPr>
            <w:r w:rsidRPr="00D33363">
              <w:rPr>
                <w:sz w:val="22"/>
                <w:lang w:val="fo-FO"/>
              </w:rPr>
              <w:t>08</w:t>
            </w:r>
            <w:r w:rsidR="001922BA" w:rsidRPr="00D33363">
              <w:rPr>
                <w:sz w:val="22"/>
                <w:lang w:val="fo-FO"/>
              </w:rPr>
              <w:t>.0</w:t>
            </w:r>
            <w:r w:rsidRPr="00D33363">
              <w:rPr>
                <w:sz w:val="22"/>
                <w:lang w:val="fo-FO"/>
              </w:rPr>
              <w:t>5</w:t>
            </w:r>
            <w:r w:rsidR="001922BA" w:rsidRPr="00D33363">
              <w:rPr>
                <w:sz w:val="22"/>
                <w:lang w:val="fo-FO"/>
              </w:rPr>
              <w:t>.202</w:t>
            </w:r>
            <w:r w:rsidRPr="00D33363">
              <w:rPr>
                <w:sz w:val="22"/>
                <w:lang w:val="fo-FO"/>
              </w:rPr>
              <w:t>4</w:t>
            </w:r>
          </w:p>
        </w:tc>
      </w:tr>
      <w:tr w:rsidR="00173350" w:rsidRPr="00B6538E" w14:paraId="245A307C" w14:textId="77777777" w:rsidTr="00895D86">
        <w:trPr>
          <w:trHeight w:val="361"/>
          <w:jc w:val="right"/>
        </w:trPr>
        <w:tc>
          <w:tcPr>
            <w:tcW w:w="1523" w:type="dxa"/>
            <w:hideMark/>
          </w:tcPr>
          <w:p w14:paraId="6D90BE76" w14:textId="2953878E" w:rsidR="00173350" w:rsidRPr="00D33363" w:rsidRDefault="00173350">
            <w:pPr>
              <w:rPr>
                <w:sz w:val="22"/>
                <w:lang w:val="fo-FO"/>
              </w:rPr>
            </w:pPr>
            <w:proofErr w:type="spellStart"/>
            <w:r w:rsidRPr="00D33363">
              <w:rPr>
                <w:sz w:val="22"/>
                <w:lang w:val="fo-FO"/>
              </w:rPr>
              <w:t>Mál</w:t>
            </w:r>
            <w:r w:rsidR="001E0563" w:rsidRPr="00D33363">
              <w:rPr>
                <w:sz w:val="22"/>
                <w:lang w:val="fo-FO"/>
              </w:rPr>
              <w:t>snummar</w:t>
            </w:r>
            <w:proofErr w:type="spellEnd"/>
            <w:r w:rsidR="001E0563" w:rsidRPr="00D33363">
              <w:rPr>
                <w:sz w:val="22"/>
                <w:lang w:val="fo-FO"/>
              </w:rPr>
              <w:t>:</w:t>
            </w:r>
          </w:p>
        </w:tc>
        <w:tc>
          <w:tcPr>
            <w:tcW w:w="1629" w:type="dxa"/>
            <w:hideMark/>
          </w:tcPr>
          <w:p w14:paraId="64E79C0B" w14:textId="282D1771" w:rsidR="00173350" w:rsidRPr="00D33363" w:rsidRDefault="00DE29BE">
            <w:pPr>
              <w:tabs>
                <w:tab w:val="center" w:pos="4513"/>
                <w:tab w:val="right" w:pos="9026"/>
              </w:tabs>
              <w:rPr>
                <w:sz w:val="22"/>
                <w:lang w:val="fo-FO"/>
              </w:rPr>
            </w:pPr>
            <w:r w:rsidRPr="00D33363">
              <w:rPr>
                <w:sz w:val="22"/>
                <w:lang w:val="fo-FO"/>
              </w:rPr>
              <w:t>24/04604</w:t>
            </w:r>
          </w:p>
        </w:tc>
      </w:tr>
      <w:tr w:rsidR="00173350" w:rsidRPr="00B6538E" w14:paraId="740CB359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3302BA66" w14:textId="77777777" w:rsidR="00173350" w:rsidRPr="00D33363" w:rsidRDefault="00173350">
            <w:pPr>
              <w:rPr>
                <w:sz w:val="22"/>
                <w:lang w:val="fo-FO"/>
              </w:rPr>
            </w:pPr>
            <w:proofErr w:type="spellStart"/>
            <w:r w:rsidRPr="00D33363">
              <w:rPr>
                <w:sz w:val="22"/>
                <w:lang w:val="fo-FO"/>
              </w:rPr>
              <w:t>Málsviðgjørt</w:t>
            </w:r>
            <w:proofErr w:type="spellEnd"/>
            <w:r w:rsidRPr="00D33363">
              <w:rPr>
                <w:sz w:val="22"/>
                <w:lang w:val="fo-FO"/>
              </w:rPr>
              <w:t>:</w:t>
            </w:r>
          </w:p>
        </w:tc>
        <w:tc>
          <w:tcPr>
            <w:tcW w:w="1629" w:type="dxa"/>
            <w:hideMark/>
          </w:tcPr>
          <w:p w14:paraId="0AB59B1F" w14:textId="47587EFE" w:rsidR="00173350" w:rsidRPr="00D33363" w:rsidRDefault="00DE29BE">
            <w:pPr>
              <w:tabs>
                <w:tab w:val="center" w:pos="4513"/>
                <w:tab w:val="right" w:pos="9026"/>
              </w:tabs>
              <w:rPr>
                <w:sz w:val="22"/>
                <w:lang w:val="fo-FO"/>
              </w:rPr>
            </w:pPr>
            <w:proofErr w:type="spellStart"/>
            <w:r w:rsidRPr="00D33363">
              <w:rPr>
                <w:sz w:val="22"/>
                <w:lang w:val="fo-FO"/>
              </w:rPr>
              <w:t>uk</w:t>
            </w:r>
            <w:proofErr w:type="spellEnd"/>
          </w:p>
        </w:tc>
      </w:tr>
      <w:tr w:rsidR="00173350" w:rsidRPr="00B6538E" w14:paraId="19769998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26495B4A" w14:textId="77777777" w:rsidR="00173350" w:rsidRPr="00D33363" w:rsidRDefault="00173350">
            <w:pPr>
              <w:rPr>
                <w:sz w:val="22"/>
                <w:lang w:val="fo-FO"/>
              </w:rPr>
            </w:pPr>
            <w:r w:rsidRPr="00D33363">
              <w:rPr>
                <w:sz w:val="22"/>
                <w:lang w:val="fo-FO"/>
              </w:rPr>
              <w:t>Ummælistíð:</w:t>
            </w:r>
          </w:p>
        </w:tc>
        <w:tc>
          <w:tcPr>
            <w:tcW w:w="1629" w:type="dxa"/>
            <w:hideMark/>
          </w:tcPr>
          <w:p w14:paraId="673FE665" w14:textId="4B3091BD" w:rsidR="00173350" w:rsidRPr="00D33363" w:rsidRDefault="00173350">
            <w:pPr>
              <w:tabs>
                <w:tab w:val="center" w:pos="4513"/>
                <w:tab w:val="right" w:pos="9026"/>
              </w:tabs>
              <w:rPr>
                <w:sz w:val="22"/>
                <w:lang w:val="fo-FO"/>
              </w:rPr>
            </w:pPr>
          </w:p>
        </w:tc>
      </w:tr>
      <w:tr w:rsidR="00173350" w:rsidRPr="00B6538E" w14:paraId="2526F8B7" w14:textId="77777777" w:rsidTr="00895D86">
        <w:trPr>
          <w:trHeight w:val="565"/>
          <w:jc w:val="right"/>
        </w:trPr>
        <w:tc>
          <w:tcPr>
            <w:tcW w:w="1523" w:type="dxa"/>
            <w:hideMark/>
          </w:tcPr>
          <w:p w14:paraId="75EF1B15" w14:textId="77777777" w:rsidR="00173350" w:rsidRPr="00D33363" w:rsidRDefault="00173350">
            <w:pPr>
              <w:rPr>
                <w:sz w:val="22"/>
                <w:lang w:val="fo-FO"/>
              </w:rPr>
            </w:pPr>
            <w:r w:rsidRPr="00D33363">
              <w:rPr>
                <w:sz w:val="22"/>
                <w:lang w:val="fo-FO"/>
              </w:rPr>
              <w:t>Eftirkannað:</w:t>
            </w:r>
          </w:p>
        </w:tc>
        <w:tc>
          <w:tcPr>
            <w:tcW w:w="1629" w:type="dxa"/>
            <w:hideMark/>
          </w:tcPr>
          <w:p w14:paraId="16BB292A" w14:textId="13005FEB" w:rsidR="00173350" w:rsidRPr="00D33363" w:rsidRDefault="00173350">
            <w:pPr>
              <w:tabs>
                <w:tab w:val="center" w:pos="4513"/>
                <w:tab w:val="right" w:pos="9026"/>
              </w:tabs>
              <w:rPr>
                <w:sz w:val="22"/>
                <w:lang w:val="fo-FO"/>
              </w:rPr>
            </w:pPr>
            <w:r w:rsidRPr="00D33363">
              <w:rPr>
                <w:sz w:val="22"/>
                <w:lang w:val="fo-FO"/>
              </w:rPr>
              <w:t xml:space="preserve"> </w:t>
            </w:r>
          </w:p>
        </w:tc>
      </w:tr>
    </w:tbl>
    <w:p w14:paraId="1146470D" w14:textId="77777777" w:rsidR="00895D86" w:rsidRPr="00B6538E" w:rsidRDefault="00895D86" w:rsidP="00895D86">
      <w:pPr>
        <w:rPr>
          <w:lang w:val="fo-FO"/>
        </w:rPr>
      </w:pPr>
    </w:p>
    <w:p w14:paraId="50206E80" w14:textId="77777777" w:rsidR="00895D86" w:rsidRPr="00B6538E" w:rsidRDefault="00895D86" w:rsidP="00895D86">
      <w:pPr>
        <w:jc w:val="center"/>
        <w:rPr>
          <w:rFonts w:cs="Times New Roman"/>
          <w:b/>
          <w:szCs w:val="24"/>
          <w:lang w:val="fo-FO"/>
        </w:rPr>
      </w:pPr>
      <w:r w:rsidRPr="00B6538E">
        <w:rPr>
          <w:rFonts w:cs="Times New Roman"/>
          <w:b/>
          <w:szCs w:val="24"/>
          <w:lang w:val="fo-FO"/>
        </w:rPr>
        <w:t>Uppskot til</w:t>
      </w:r>
    </w:p>
    <w:p w14:paraId="073C07DC" w14:textId="77777777" w:rsidR="00895D86" w:rsidRPr="00B6538E" w:rsidRDefault="00895D86" w:rsidP="00895D86">
      <w:pPr>
        <w:jc w:val="center"/>
        <w:rPr>
          <w:rFonts w:cs="Times New Roman"/>
          <w:b/>
          <w:szCs w:val="24"/>
          <w:lang w:val="fo-FO"/>
        </w:rPr>
      </w:pPr>
    </w:p>
    <w:p w14:paraId="250630DB" w14:textId="77777777" w:rsidR="00895D86" w:rsidRPr="00B6538E" w:rsidRDefault="00895D86" w:rsidP="00895D86">
      <w:pPr>
        <w:jc w:val="center"/>
        <w:rPr>
          <w:rFonts w:cs="Times New Roman"/>
          <w:b/>
          <w:szCs w:val="24"/>
          <w:lang w:val="fo-FO"/>
        </w:rPr>
      </w:pPr>
      <w:r w:rsidRPr="00B6538E">
        <w:rPr>
          <w:rFonts w:cs="Times New Roman"/>
          <w:b/>
          <w:szCs w:val="24"/>
          <w:lang w:val="fo-FO"/>
        </w:rPr>
        <w:t>Kunngerð</w:t>
      </w:r>
    </w:p>
    <w:p w14:paraId="798D024B" w14:textId="77777777" w:rsidR="00895D86" w:rsidRPr="00B6538E" w:rsidRDefault="00895D86" w:rsidP="00895D86">
      <w:pPr>
        <w:jc w:val="center"/>
        <w:rPr>
          <w:rFonts w:cs="Times New Roman"/>
          <w:b/>
          <w:szCs w:val="24"/>
          <w:lang w:val="fo-FO"/>
        </w:rPr>
      </w:pPr>
      <w:r w:rsidRPr="00B6538E">
        <w:rPr>
          <w:rFonts w:cs="Times New Roman"/>
          <w:b/>
          <w:szCs w:val="24"/>
          <w:lang w:val="fo-FO"/>
        </w:rPr>
        <w:t>um</w:t>
      </w:r>
    </w:p>
    <w:p w14:paraId="319DF50D" w14:textId="0FF6D964" w:rsidR="00895D86" w:rsidRPr="00B6538E" w:rsidRDefault="00EE4A52" w:rsidP="00895D86">
      <w:pPr>
        <w:jc w:val="center"/>
        <w:rPr>
          <w:rFonts w:cs="Times New Roman"/>
          <w:b/>
          <w:szCs w:val="24"/>
          <w:lang w:val="fo-FO"/>
        </w:rPr>
      </w:pPr>
      <w:r w:rsidRPr="00B6538E">
        <w:rPr>
          <w:rFonts w:cs="Times New Roman"/>
          <w:b/>
          <w:szCs w:val="24"/>
          <w:lang w:val="fo-FO"/>
        </w:rPr>
        <w:t>sjóuppmerking og onnur siglingarmerki</w:t>
      </w:r>
    </w:p>
    <w:p w14:paraId="3C52196C" w14:textId="77777777" w:rsidR="00EE4A52" w:rsidRPr="00B6538E" w:rsidRDefault="00EE4A52" w:rsidP="00895D86">
      <w:pPr>
        <w:jc w:val="center"/>
        <w:rPr>
          <w:rFonts w:cs="Times New Roman"/>
          <w:b/>
          <w:szCs w:val="24"/>
          <w:lang w:val="fo-FO"/>
        </w:rPr>
      </w:pPr>
    </w:p>
    <w:p w14:paraId="13CECCAA" w14:textId="77777777" w:rsidR="00895D86" w:rsidRPr="00B6538E" w:rsidRDefault="00895D86" w:rsidP="00895D86">
      <w:pPr>
        <w:jc w:val="center"/>
        <w:rPr>
          <w:rFonts w:cs="Times New Roman"/>
          <w:b/>
          <w:szCs w:val="24"/>
          <w:lang w:val="fo-FO"/>
        </w:rPr>
      </w:pPr>
    </w:p>
    <w:p w14:paraId="7F8E6088" w14:textId="77777777" w:rsidR="00895D86" w:rsidRPr="00B6538E" w:rsidRDefault="00895D86" w:rsidP="00895D86">
      <w:pPr>
        <w:rPr>
          <w:lang w:val="fo-FO"/>
        </w:rPr>
        <w:sectPr w:rsidR="00895D86" w:rsidRPr="00B6538E" w:rsidSect="00102AEF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141A4C40" w14:textId="392F8076" w:rsidR="00895D86" w:rsidRPr="00B6538E" w:rsidRDefault="00895D86" w:rsidP="00895D86">
      <w:pPr>
        <w:rPr>
          <w:lang w:val="fo-FO"/>
        </w:rPr>
      </w:pPr>
      <w:r w:rsidRPr="00B6538E">
        <w:rPr>
          <w:lang w:val="fo-FO"/>
        </w:rPr>
        <w:t>Við heimild í §</w:t>
      </w:r>
      <w:r w:rsidR="0007409B" w:rsidRPr="00B6538E">
        <w:rPr>
          <w:lang w:val="fo-FO"/>
        </w:rPr>
        <w:t xml:space="preserve"> 31 a </w:t>
      </w:r>
      <w:r w:rsidR="0040740C">
        <w:rPr>
          <w:lang w:val="fo-FO"/>
        </w:rPr>
        <w:t xml:space="preserve">og § 49, stk. 2 </w:t>
      </w:r>
      <w:r w:rsidRPr="00B6538E">
        <w:rPr>
          <w:lang w:val="fo-FO"/>
        </w:rPr>
        <w:t xml:space="preserve">í løgtingslóg nr. </w:t>
      </w:r>
      <w:r w:rsidR="0007409B" w:rsidRPr="00B6538E">
        <w:rPr>
          <w:lang w:val="fo-FO"/>
        </w:rPr>
        <w:t>165 frá 21. desember 2001</w:t>
      </w:r>
      <w:r w:rsidR="00EE03CC">
        <w:rPr>
          <w:lang w:val="fo-FO"/>
        </w:rPr>
        <w:t xml:space="preserve"> um trygd á sjónum</w:t>
      </w:r>
      <w:r w:rsidR="0007409B" w:rsidRPr="00B6538E">
        <w:rPr>
          <w:lang w:val="fo-FO"/>
        </w:rPr>
        <w:t xml:space="preserve">, sum broytt við løgtingslóg nr. XX </w:t>
      </w:r>
      <w:r w:rsidRPr="00B6538E">
        <w:rPr>
          <w:lang w:val="fo-FO"/>
        </w:rPr>
        <w:t xml:space="preserve">frá </w:t>
      </w:r>
      <w:r w:rsidR="0007409B" w:rsidRPr="00B6538E">
        <w:rPr>
          <w:lang w:val="fo-FO"/>
        </w:rPr>
        <w:t xml:space="preserve">XX </w:t>
      </w:r>
      <w:r w:rsidRPr="00B6538E">
        <w:rPr>
          <w:lang w:val="fo-FO"/>
        </w:rPr>
        <w:t>verður ásett:</w:t>
      </w:r>
    </w:p>
    <w:p w14:paraId="4FEBFD0E" w14:textId="77777777" w:rsidR="00895D86" w:rsidRPr="00B6538E" w:rsidRDefault="00895D86" w:rsidP="00895D86">
      <w:pPr>
        <w:rPr>
          <w:lang w:val="fo-FO"/>
        </w:rPr>
      </w:pPr>
    </w:p>
    <w:p w14:paraId="435F9E82" w14:textId="4FE4E278" w:rsidR="002265B1" w:rsidRDefault="00895D86" w:rsidP="00895D86">
      <w:pPr>
        <w:rPr>
          <w:lang w:val="fo-FO"/>
        </w:rPr>
      </w:pPr>
      <w:r w:rsidRPr="00B6538E">
        <w:rPr>
          <w:b/>
          <w:lang w:val="fo-FO"/>
        </w:rPr>
        <w:t>§ 1.</w:t>
      </w:r>
      <w:r w:rsidRPr="00B6538E">
        <w:rPr>
          <w:lang w:val="fo-FO"/>
        </w:rPr>
        <w:t xml:space="preserve"> </w:t>
      </w:r>
      <w:r w:rsidR="001A38E6">
        <w:rPr>
          <w:lang w:val="fo-FO"/>
        </w:rPr>
        <w:t xml:space="preserve">Henda kunngerð ásetir reglur um </w:t>
      </w:r>
      <w:r w:rsidR="00FE125C">
        <w:rPr>
          <w:lang w:val="fo-FO"/>
        </w:rPr>
        <w:t xml:space="preserve">vitar, </w:t>
      </w:r>
      <w:r w:rsidR="001A38E6">
        <w:rPr>
          <w:lang w:val="fo-FO"/>
        </w:rPr>
        <w:t>sjóuppmerking, siglingarmerki</w:t>
      </w:r>
      <w:r w:rsidR="00854219">
        <w:rPr>
          <w:lang w:val="fo-FO"/>
        </w:rPr>
        <w:t xml:space="preserve">, siglingarskipanir, siglingarávaringar </w:t>
      </w:r>
      <w:r w:rsidR="001A38E6">
        <w:rPr>
          <w:lang w:val="fo-FO"/>
        </w:rPr>
        <w:t>o</w:t>
      </w:r>
      <w:r w:rsidR="00A71E47">
        <w:rPr>
          <w:lang w:val="fo-FO"/>
        </w:rPr>
        <w:t xml:space="preserve">g annað, </w:t>
      </w:r>
      <w:r w:rsidR="00DE2491">
        <w:rPr>
          <w:lang w:val="fo-FO"/>
        </w:rPr>
        <w:t xml:space="preserve">undir hesum </w:t>
      </w:r>
      <w:r w:rsidR="00DE4410">
        <w:rPr>
          <w:lang w:val="fo-FO"/>
        </w:rPr>
        <w:t xml:space="preserve">reglur um staðseting </w:t>
      </w:r>
      <w:r w:rsidR="003D5F4A">
        <w:rPr>
          <w:lang w:val="fo-FO"/>
        </w:rPr>
        <w:t xml:space="preserve">og </w:t>
      </w:r>
      <w:proofErr w:type="spellStart"/>
      <w:r w:rsidR="003D5F4A">
        <w:rPr>
          <w:lang w:val="fo-FO"/>
        </w:rPr>
        <w:t>uppsetan</w:t>
      </w:r>
      <w:proofErr w:type="spellEnd"/>
      <w:r w:rsidR="003D5F4A">
        <w:rPr>
          <w:lang w:val="fo-FO"/>
        </w:rPr>
        <w:t xml:space="preserve"> </w:t>
      </w:r>
      <w:r w:rsidR="00DE4410">
        <w:rPr>
          <w:lang w:val="fo-FO"/>
        </w:rPr>
        <w:t xml:space="preserve">av: </w:t>
      </w:r>
    </w:p>
    <w:p w14:paraId="4C342992" w14:textId="368B888D" w:rsidR="000D13E2" w:rsidRPr="009D75A9" w:rsidRDefault="009615B1" w:rsidP="00A71E47">
      <w:pPr>
        <w:pStyle w:val="ListParagraph"/>
        <w:numPr>
          <w:ilvl w:val="0"/>
          <w:numId w:val="3"/>
        </w:numPr>
        <w:rPr>
          <w:lang w:val="fo-FO"/>
        </w:rPr>
      </w:pPr>
      <w:r w:rsidRPr="00D33363">
        <w:rPr>
          <w:lang w:val="fo-FO"/>
        </w:rPr>
        <w:t>Flótandi ella f</w:t>
      </w:r>
      <w:r w:rsidR="00A71E47">
        <w:rPr>
          <w:lang w:val="fo-FO"/>
        </w:rPr>
        <w:t xml:space="preserve">astari </w:t>
      </w:r>
      <w:r w:rsidRPr="00D33363">
        <w:rPr>
          <w:lang w:val="fo-FO"/>
        </w:rPr>
        <w:t>sjóuppmerking</w:t>
      </w:r>
      <w:r w:rsidR="00A71E47">
        <w:rPr>
          <w:lang w:val="fo-FO"/>
        </w:rPr>
        <w:t xml:space="preserve"> so sum </w:t>
      </w:r>
      <w:r w:rsidRPr="00D33363">
        <w:rPr>
          <w:lang w:val="fo-FO"/>
        </w:rPr>
        <w:t>sjómerki,</w:t>
      </w:r>
      <w:r w:rsidRPr="00A71E47">
        <w:rPr>
          <w:lang w:val="fo-FO"/>
        </w:rPr>
        <w:t xml:space="preserve"> vit</w:t>
      </w:r>
      <w:r w:rsidR="000802D3" w:rsidRPr="00A71E47">
        <w:rPr>
          <w:lang w:val="fo-FO"/>
        </w:rPr>
        <w:t>a</w:t>
      </w:r>
      <w:r w:rsidRPr="00A71E47">
        <w:rPr>
          <w:lang w:val="fo-FO"/>
        </w:rPr>
        <w:t>, fast siglingarmerki</w:t>
      </w:r>
      <w:r w:rsidR="000D13E2" w:rsidRPr="00D33363">
        <w:rPr>
          <w:lang w:val="fo-FO"/>
        </w:rPr>
        <w:t xml:space="preserve">, </w:t>
      </w:r>
      <w:r w:rsidRPr="00A71E47">
        <w:rPr>
          <w:lang w:val="fo-FO"/>
        </w:rPr>
        <w:t>fráboð</w:t>
      </w:r>
      <w:r w:rsidR="000C6E61" w:rsidRPr="00A71E47">
        <w:rPr>
          <w:lang w:val="fo-FO"/>
        </w:rPr>
        <w:t xml:space="preserve">anarstøð, </w:t>
      </w:r>
      <w:r w:rsidR="00955094" w:rsidRPr="009D75A9">
        <w:rPr>
          <w:lang w:val="fo-FO"/>
        </w:rPr>
        <w:t xml:space="preserve">radara </w:t>
      </w:r>
      <w:proofErr w:type="spellStart"/>
      <w:r w:rsidR="000D13E2" w:rsidRPr="00D33363">
        <w:rPr>
          <w:lang w:val="fo-FO"/>
        </w:rPr>
        <w:t>raco</w:t>
      </w:r>
      <w:r w:rsidR="00A71E47" w:rsidRPr="009D75A9">
        <w:rPr>
          <w:lang w:val="fo-FO"/>
        </w:rPr>
        <w:t>n</w:t>
      </w:r>
      <w:proofErr w:type="spellEnd"/>
      <w:r w:rsidR="00A71E47" w:rsidRPr="009D75A9">
        <w:rPr>
          <w:lang w:val="fo-FO"/>
        </w:rPr>
        <w:t>,</w:t>
      </w:r>
      <w:r w:rsidR="000D13E2" w:rsidRPr="00D33363">
        <w:rPr>
          <w:lang w:val="fo-FO"/>
        </w:rPr>
        <w:t xml:space="preserve"> </w:t>
      </w:r>
      <w:r w:rsidRPr="009D75A9">
        <w:rPr>
          <w:lang w:val="fo-FO"/>
        </w:rPr>
        <w:t>tokulúður</w:t>
      </w:r>
      <w:r w:rsidR="00A71E47" w:rsidRPr="009D75A9">
        <w:rPr>
          <w:lang w:val="fo-FO"/>
        </w:rPr>
        <w:t xml:space="preserve"> og annað</w:t>
      </w:r>
      <w:r w:rsidR="000D13E2" w:rsidRPr="00D33363">
        <w:rPr>
          <w:lang w:val="fo-FO"/>
        </w:rPr>
        <w:t xml:space="preserve">, </w:t>
      </w:r>
    </w:p>
    <w:p w14:paraId="170C1F52" w14:textId="68538EF5" w:rsidR="000D13E2" w:rsidRPr="009D75A9" w:rsidRDefault="009615B1" w:rsidP="000D13E2">
      <w:pPr>
        <w:pStyle w:val="ListParagraph"/>
        <w:numPr>
          <w:ilvl w:val="0"/>
          <w:numId w:val="3"/>
        </w:numPr>
        <w:rPr>
          <w:lang w:val="fo-FO"/>
        </w:rPr>
      </w:pPr>
      <w:r w:rsidRPr="00D33363">
        <w:rPr>
          <w:lang w:val="fo-FO"/>
        </w:rPr>
        <w:t xml:space="preserve">navigatiónsskipan </w:t>
      </w:r>
      <w:r w:rsidR="000D13E2" w:rsidRPr="00D33363">
        <w:rPr>
          <w:lang w:val="fo-FO"/>
        </w:rPr>
        <w:t xml:space="preserve">og </w:t>
      </w:r>
      <w:r w:rsidRPr="00D33363">
        <w:rPr>
          <w:lang w:val="fo-FO"/>
        </w:rPr>
        <w:t>talgild</w:t>
      </w:r>
      <w:r w:rsidR="00A71E47" w:rsidRPr="009D75A9">
        <w:rPr>
          <w:lang w:val="fo-FO"/>
        </w:rPr>
        <w:t>ari</w:t>
      </w:r>
      <w:r w:rsidRPr="00D33363">
        <w:rPr>
          <w:lang w:val="fo-FO"/>
        </w:rPr>
        <w:t xml:space="preserve"> sj</w:t>
      </w:r>
      <w:r w:rsidRPr="009D75A9">
        <w:rPr>
          <w:lang w:val="fo-FO"/>
        </w:rPr>
        <w:t xml:space="preserve">óuppmerking og </w:t>
      </w:r>
      <w:r w:rsidR="00A71E47" w:rsidRPr="009D75A9">
        <w:rPr>
          <w:lang w:val="fo-FO"/>
        </w:rPr>
        <w:t xml:space="preserve">øðrum </w:t>
      </w:r>
      <w:r w:rsidRPr="009D75A9">
        <w:rPr>
          <w:lang w:val="fo-FO"/>
        </w:rPr>
        <w:t>skipan</w:t>
      </w:r>
      <w:r w:rsidR="00A71E47" w:rsidRPr="009D75A9">
        <w:rPr>
          <w:lang w:val="fo-FO"/>
        </w:rPr>
        <w:t xml:space="preserve">um </w:t>
      </w:r>
      <w:r w:rsidRPr="009D75A9">
        <w:rPr>
          <w:lang w:val="fo-FO"/>
        </w:rPr>
        <w:t>til innrætting, sum verð</w:t>
      </w:r>
      <w:r w:rsidR="000532B3" w:rsidRPr="009D75A9">
        <w:rPr>
          <w:lang w:val="fo-FO"/>
        </w:rPr>
        <w:t>a</w:t>
      </w:r>
      <w:r w:rsidRPr="009D75A9">
        <w:rPr>
          <w:lang w:val="fo-FO"/>
        </w:rPr>
        <w:t xml:space="preserve"> settar í verk sum vegleiðing til </w:t>
      </w:r>
      <w:proofErr w:type="spellStart"/>
      <w:r w:rsidRPr="009D75A9">
        <w:rPr>
          <w:lang w:val="fo-FO"/>
        </w:rPr>
        <w:t>naviagatión</w:t>
      </w:r>
      <w:proofErr w:type="spellEnd"/>
      <w:r w:rsidRPr="009D75A9">
        <w:rPr>
          <w:lang w:val="fo-FO"/>
        </w:rPr>
        <w:t xml:space="preserve"> sum t</w:t>
      </w:r>
      <w:r w:rsidR="00A71E47" w:rsidRPr="009D75A9">
        <w:rPr>
          <w:lang w:val="fo-FO"/>
        </w:rPr>
        <w:t xml:space="preserve">il dømis </w:t>
      </w:r>
      <w:proofErr w:type="spellStart"/>
      <w:r w:rsidR="00876459" w:rsidRPr="009D75A9">
        <w:rPr>
          <w:lang w:val="fo-FO"/>
        </w:rPr>
        <w:t>AIS</w:t>
      </w:r>
      <w:proofErr w:type="spellEnd"/>
      <w:r w:rsidR="00876459" w:rsidRPr="009D75A9">
        <w:rPr>
          <w:lang w:val="fo-FO"/>
        </w:rPr>
        <w:t xml:space="preserve"> </w:t>
      </w:r>
      <w:proofErr w:type="spellStart"/>
      <w:r w:rsidR="00463472" w:rsidRPr="009D75A9">
        <w:rPr>
          <w:lang w:val="fo-FO"/>
        </w:rPr>
        <w:t>A</w:t>
      </w:r>
      <w:r w:rsidR="00B832D5" w:rsidRPr="009D75A9">
        <w:rPr>
          <w:lang w:val="fo-FO"/>
        </w:rPr>
        <w:t>toN</w:t>
      </w:r>
      <w:proofErr w:type="spellEnd"/>
      <w:r w:rsidRPr="009D75A9">
        <w:rPr>
          <w:lang w:val="fo-FO"/>
        </w:rPr>
        <w:t>,</w:t>
      </w:r>
      <w:r w:rsidR="000D13E2" w:rsidRPr="00D33363">
        <w:rPr>
          <w:lang w:val="fo-FO"/>
        </w:rPr>
        <w:t xml:space="preserve"> </w:t>
      </w:r>
      <w:r w:rsidR="00987539" w:rsidRPr="009D75A9">
        <w:rPr>
          <w:lang w:val="fo-FO"/>
        </w:rPr>
        <w:t xml:space="preserve">automatisk </w:t>
      </w:r>
      <w:proofErr w:type="spellStart"/>
      <w:r w:rsidR="00994EC3" w:rsidRPr="009D75A9">
        <w:rPr>
          <w:lang w:val="fo-FO"/>
        </w:rPr>
        <w:t>navigationsskipan</w:t>
      </w:r>
      <w:proofErr w:type="spellEnd"/>
      <w:r w:rsidR="00994EC3" w:rsidRPr="009D75A9">
        <w:rPr>
          <w:lang w:val="fo-FO"/>
        </w:rPr>
        <w:t>,</w:t>
      </w:r>
    </w:p>
    <w:p w14:paraId="3F020747" w14:textId="665D5757" w:rsidR="000D13E2" w:rsidRPr="009D75A9" w:rsidRDefault="00E41FC7" w:rsidP="000D13E2">
      <w:pPr>
        <w:pStyle w:val="ListParagraph"/>
        <w:numPr>
          <w:ilvl w:val="0"/>
          <w:numId w:val="3"/>
        </w:numPr>
        <w:rPr>
          <w:lang w:val="fo-FO"/>
        </w:rPr>
      </w:pPr>
      <w:r w:rsidRPr="00D33363">
        <w:rPr>
          <w:lang w:val="fo-FO"/>
        </w:rPr>
        <w:t>u</w:t>
      </w:r>
      <w:r w:rsidR="009615B1" w:rsidRPr="00D33363">
        <w:rPr>
          <w:lang w:val="fo-FO"/>
        </w:rPr>
        <w:t>ppmerking og skelting</w:t>
      </w:r>
      <w:r w:rsidR="000D13E2" w:rsidRPr="00D33363">
        <w:rPr>
          <w:lang w:val="fo-FO"/>
        </w:rPr>
        <w:t xml:space="preserve"> og </w:t>
      </w:r>
    </w:p>
    <w:p w14:paraId="4DD958F7" w14:textId="011CBAA7" w:rsidR="00C95896" w:rsidRDefault="009615B1" w:rsidP="000D13E2">
      <w:pPr>
        <w:pStyle w:val="ListParagraph"/>
        <w:numPr>
          <w:ilvl w:val="0"/>
          <w:numId w:val="3"/>
        </w:numPr>
        <w:rPr>
          <w:lang w:val="fo-FO"/>
        </w:rPr>
      </w:pPr>
      <w:r w:rsidRPr="00D33363">
        <w:rPr>
          <w:lang w:val="fo-FO"/>
        </w:rPr>
        <w:t>ljósi</w:t>
      </w:r>
      <w:r w:rsidR="00E41FC7" w:rsidRPr="00D33363">
        <w:rPr>
          <w:lang w:val="fo-FO"/>
        </w:rPr>
        <w:t xml:space="preserve"> og øðrum</w:t>
      </w:r>
      <w:r w:rsidRPr="00D33363">
        <w:rPr>
          <w:lang w:val="fo-FO"/>
        </w:rPr>
        <w:t xml:space="preserve"> við tí endamáli at </w:t>
      </w:r>
      <w:proofErr w:type="spellStart"/>
      <w:r w:rsidRPr="00D33363">
        <w:rPr>
          <w:lang w:val="fo-FO"/>
        </w:rPr>
        <w:t>navigera</w:t>
      </w:r>
      <w:proofErr w:type="spellEnd"/>
      <w:r w:rsidRPr="00D33363">
        <w:rPr>
          <w:lang w:val="fo-FO"/>
        </w:rPr>
        <w:t xml:space="preserve">. </w:t>
      </w:r>
    </w:p>
    <w:p w14:paraId="78F97CB1" w14:textId="48365CD2" w:rsidR="00E337E6" w:rsidRDefault="00E337E6" w:rsidP="00E337E6">
      <w:pPr>
        <w:rPr>
          <w:lang w:val="fo-FO"/>
        </w:rPr>
      </w:pPr>
      <w:r>
        <w:rPr>
          <w:lang w:val="fo-FO"/>
        </w:rPr>
        <w:t xml:space="preserve">Stk. 2. </w:t>
      </w:r>
      <w:r>
        <w:rPr>
          <w:lang w:val="fo-FO"/>
        </w:rPr>
        <w:t>Sjóuppmerking, siglingarmerki, siglingarskipanir, siglingarávaringar o</w:t>
      </w:r>
      <w:r>
        <w:rPr>
          <w:lang w:val="fo-FO"/>
        </w:rPr>
        <w:t>g annað, sum er nevnt í § 1, stk. 1</w:t>
      </w:r>
      <w:r w:rsidR="00D83E5F">
        <w:rPr>
          <w:lang w:val="fo-FO"/>
        </w:rPr>
        <w:t xml:space="preserve">, skal vera í </w:t>
      </w:r>
      <w:r>
        <w:rPr>
          <w:lang w:val="fo-FO"/>
        </w:rPr>
        <w:t>samsvari við trygd á sjónum.</w:t>
      </w:r>
    </w:p>
    <w:p w14:paraId="350CFE80" w14:textId="163190C8" w:rsidR="00E337E6" w:rsidRDefault="00E337E6" w:rsidP="00E337E6">
      <w:pPr>
        <w:rPr>
          <w:lang w:val="fo-FO"/>
        </w:rPr>
      </w:pPr>
    </w:p>
    <w:p w14:paraId="55F6C83F" w14:textId="0DED1887" w:rsidR="003265F3" w:rsidRDefault="003265F3" w:rsidP="003265F3">
      <w:pPr>
        <w:rPr>
          <w:lang w:val="fo-FO"/>
        </w:rPr>
      </w:pPr>
      <w:r w:rsidRPr="00C436BC">
        <w:rPr>
          <w:b/>
          <w:bCs/>
          <w:lang w:val="fo-FO"/>
        </w:rPr>
        <w:t xml:space="preserve">§ </w:t>
      </w:r>
      <w:r w:rsidR="009A1CFD">
        <w:rPr>
          <w:b/>
          <w:bCs/>
          <w:lang w:val="fo-FO"/>
        </w:rPr>
        <w:t>2</w:t>
      </w:r>
      <w:r w:rsidRPr="00C436BC">
        <w:rPr>
          <w:b/>
          <w:bCs/>
          <w:lang w:val="fo-FO"/>
        </w:rPr>
        <w:t>.</w:t>
      </w:r>
      <w:r>
        <w:rPr>
          <w:lang w:val="fo-FO"/>
        </w:rPr>
        <w:t xml:space="preserve"> </w:t>
      </w:r>
      <w:r w:rsidRPr="00B6538E">
        <w:rPr>
          <w:lang w:val="fo-FO"/>
        </w:rPr>
        <w:t>Sjóvinnustýrið er myndugleiki</w:t>
      </w:r>
      <w:r w:rsidR="001F2100">
        <w:rPr>
          <w:lang w:val="fo-FO"/>
        </w:rPr>
        <w:t xml:space="preserve">, tá ið ræður um </w:t>
      </w:r>
      <w:r w:rsidR="001F2100">
        <w:rPr>
          <w:lang w:val="fo-FO"/>
        </w:rPr>
        <w:t>vitar, sjóuppmerking, siglingarmerki, siglingarskipanir, siglingarávaringar og annað</w:t>
      </w:r>
      <w:r w:rsidR="000144C9">
        <w:rPr>
          <w:lang w:val="fo-FO"/>
        </w:rPr>
        <w:t xml:space="preserve">, sum er nevnt í § 1, stk. 1, </w:t>
      </w:r>
      <w:r w:rsidR="00891F75">
        <w:rPr>
          <w:lang w:val="fo-FO"/>
        </w:rPr>
        <w:t xml:space="preserve">og avgerð ivamál </w:t>
      </w:r>
      <w:r w:rsidR="00034DAC">
        <w:rPr>
          <w:lang w:val="fo-FO"/>
        </w:rPr>
        <w:t xml:space="preserve">í hesi </w:t>
      </w:r>
      <w:r w:rsidR="00891F75">
        <w:rPr>
          <w:lang w:val="fo-FO"/>
        </w:rPr>
        <w:t>kunngerð</w:t>
      </w:r>
      <w:r w:rsidR="00EE03CC">
        <w:rPr>
          <w:lang w:val="fo-FO"/>
        </w:rPr>
        <w:t>.</w:t>
      </w:r>
    </w:p>
    <w:p w14:paraId="776D05D4" w14:textId="20EB0FA6" w:rsidR="003265F3" w:rsidRPr="009E0B76" w:rsidRDefault="003265F3" w:rsidP="003265F3">
      <w:pPr>
        <w:rPr>
          <w:lang w:val="fo-FO"/>
        </w:rPr>
      </w:pPr>
      <w:r>
        <w:rPr>
          <w:lang w:val="fo-FO"/>
        </w:rPr>
        <w:t>Stk. 2. Sjóvinnustýrið hevur</w:t>
      </w:r>
      <w:r w:rsidR="00891F75">
        <w:rPr>
          <w:lang w:val="fo-FO"/>
        </w:rPr>
        <w:t xml:space="preserve"> </w:t>
      </w:r>
      <w:r>
        <w:rPr>
          <w:lang w:val="fo-FO"/>
        </w:rPr>
        <w:t>ábyrgd av at samskipa uppgávur millum myndugleikar, tá ið ræður um viðurskifti sambært § 1</w:t>
      </w:r>
      <w:r w:rsidR="000144C9">
        <w:rPr>
          <w:lang w:val="fo-FO"/>
        </w:rPr>
        <w:t>, stk. 1</w:t>
      </w:r>
      <w:r>
        <w:rPr>
          <w:lang w:val="fo-FO"/>
        </w:rPr>
        <w:t>.</w:t>
      </w:r>
    </w:p>
    <w:p w14:paraId="409CCA2C" w14:textId="77777777" w:rsidR="003265F3" w:rsidRPr="00E337E6" w:rsidRDefault="003265F3" w:rsidP="00D33363">
      <w:pPr>
        <w:rPr>
          <w:lang w:val="fo-FO"/>
        </w:rPr>
      </w:pPr>
    </w:p>
    <w:p w14:paraId="3C4B7E9D" w14:textId="1E2F6A02" w:rsidR="001658B9" w:rsidRPr="00130234" w:rsidRDefault="0012697E" w:rsidP="00D33363">
      <w:pPr>
        <w:jc w:val="center"/>
        <w:rPr>
          <w:i/>
          <w:iCs/>
          <w:lang w:val="fo-FO"/>
        </w:rPr>
      </w:pPr>
      <w:r>
        <w:rPr>
          <w:i/>
          <w:iCs/>
          <w:lang w:val="fo-FO"/>
        </w:rPr>
        <w:t>Forboð</w:t>
      </w:r>
    </w:p>
    <w:p w14:paraId="37452FB7" w14:textId="77777777" w:rsidR="001658B9" w:rsidRPr="00B6538E" w:rsidRDefault="001658B9" w:rsidP="001658B9">
      <w:pPr>
        <w:rPr>
          <w:lang w:val="fo-FO"/>
        </w:rPr>
      </w:pPr>
    </w:p>
    <w:p w14:paraId="744461C9" w14:textId="24B66041" w:rsidR="001658B9" w:rsidRPr="00B6538E" w:rsidRDefault="001658B9" w:rsidP="001658B9">
      <w:pPr>
        <w:rPr>
          <w:lang w:val="fo-FO"/>
        </w:rPr>
      </w:pPr>
      <w:r w:rsidRPr="00C436BC">
        <w:rPr>
          <w:b/>
          <w:bCs/>
          <w:lang w:val="fo-FO"/>
        </w:rPr>
        <w:t xml:space="preserve">§ </w:t>
      </w:r>
      <w:r w:rsidR="009A1CFD">
        <w:rPr>
          <w:b/>
          <w:bCs/>
          <w:lang w:val="fo-FO"/>
        </w:rPr>
        <w:t>3</w:t>
      </w:r>
      <w:r w:rsidRPr="00C436BC">
        <w:rPr>
          <w:b/>
          <w:bCs/>
          <w:lang w:val="fo-FO"/>
        </w:rPr>
        <w:t>.</w:t>
      </w:r>
      <w:r w:rsidRPr="00B6538E">
        <w:rPr>
          <w:lang w:val="fo-FO"/>
        </w:rPr>
        <w:t xml:space="preserve"> Tað er ikki loyvt at seta í verk </w:t>
      </w:r>
      <w:r>
        <w:rPr>
          <w:lang w:val="fo-FO"/>
        </w:rPr>
        <w:t xml:space="preserve">vita, </w:t>
      </w:r>
      <w:r w:rsidRPr="00B6538E">
        <w:rPr>
          <w:lang w:val="fo-FO"/>
        </w:rPr>
        <w:t>sjóuppmerking, siglingarmerki, radiovita, tokulúður</w:t>
      </w:r>
      <w:r w:rsidR="003E386C">
        <w:rPr>
          <w:lang w:val="fo-FO"/>
        </w:rPr>
        <w:t>, aðrar skipanir</w:t>
      </w:r>
      <w:r w:rsidRPr="00B6538E">
        <w:rPr>
          <w:lang w:val="fo-FO"/>
        </w:rPr>
        <w:t xml:space="preserve"> ella </w:t>
      </w:r>
      <w:r w:rsidR="00FB2AE8">
        <w:rPr>
          <w:lang w:val="fo-FO"/>
        </w:rPr>
        <w:t>annað, sum er nevnt í §</w:t>
      </w:r>
      <w:r w:rsidR="003E386C">
        <w:rPr>
          <w:lang w:val="fo-FO"/>
        </w:rPr>
        <w:t xml:space="preserve"> 1</w:t>
      </w:r>
      <w:r w:rsidR="00A522C4">
        <w:rPr>
          <w:lang w:val="fo-FO"/>
        </w:rPr>
        <w:t>, stk. 1,</w:t>
      </w:r>
      <w:r w:rsidR="003E386C">
        <w:rPr>
          <w:lang w:val="fo-FO"/>
        </w:rPr>
        <w:t xml:space="preserve"> uttan </w:t>
      </w:r>
      <w:r w:rsidRPr="00B6538E">
        <w:rPr>
          <w:lang w:val="fo-FO"/>
        </w:rPr>
        <w:t xml:space="preserve">loyvi frá Sjóvinnustýrinum. </w:t>
      </w:r>
    </w:p>
    <w:p w14:paraId="7E6841D8" w14:textId="121219A3" w:rsidR="001658B9" w:rsidRPr="00B6538E" w:rsidRDefault="001658B9" w:rsidP="001658B9">
      <w:pPr>
        <w:rPr>
          <w:lang w:val="fo-FO"/>
        </w:rPr>
      </w:pPr>
      <w:r w:rsidRPr="00891B2A">
        <w:rPr>
          <w:i/>
          <w:iCs/>
          <w:lang w:val="fo-FO"/>
        </w:rPr>
        <w:t>Stk. 2.</w:t>
      </w:r>
      <w:r w:rsidRPr="00B6538E">
        <w:rPr>
          <w:lang w:val="fo-FO"/>
        </w:rPr>
        <w:t xml:space="preserve"> Tað er ikki loyvt at seta</w:t>
      </w:r>
      <w:r w:rsidR="00F102A7">
        <w:rPr>
          <w:lang w:val="fo-FO"/>
        </w:rPr>
        <w:t xml:space="preserve"> upp</w:t>
      </w:r>
      <w:r w:rsidRPr="00B6538E">
        <w:rPr>
          <w:lang w:val="fo-FO"/>
        </w:rPr>
        <w:t xml:space="preserve"> </w:t>
      </w:r>
      <w:r w:rsidR="00695397">
        <w:rPr>
          <w:lang w:val="fo-FO"/>
        </w:rPr>
        <w:t xml:space="preserve">støð, skipan, </w:t>
      </w:r>
      <w:r w:rsidRPr="00B6538E">
        <w:rPr>
          <w:lang w:val="fo-FO"/>
        </w:rPr>
        <w:t>lutir</w:t>
      </w:r>
      <w:r w:rsidR="004574C2">
        <w:rPr>
          <w:lang w:val="fo-FO"/>
        </w:rPr>
        <w:t>,</w:t>
      </w:r>
      <w:r w:rsidR="00695397">
        <w:rPr>
          <w:lang w:val="fo-FO"/>
        </w:rPr>
        <w:t xml:space="preserve"> </w:t>
      </w:r>
      <w:r w:rsidR="004574C2" w:rsidRPr="00B6538E">
        <w:rPr>
          <w:lang w:val="fo-FO"/>
        </w:rPr>
        <w:t>lýsingarskelti</w:t>
      </w:r>
      <w:r w:rsidR="004574C2">
        <w:rPr>
          <w:lang w:val="fo-FO"/>
        </w:rPr>
        <w:t xml:space="preserve">, </w:t>
      </w:r>
      <w:r w:rsidR="004574C2" w:rsidRPr="00B6538E">
        <w:rPr>
          <w:lang w:val="fo-FO"/>
        </w:rPr>
        <w:t xml:space="preserve">ljóslýsingar </w:t>
      </w:r>
      <w:r w:rsidR="004574C2">
        <w:rPr>
          <w:lang w:val="fo-FO"/>
        </w:rPr>
        <w:t>ella annað,</w:t>
      </w:r>
      <w:r w:rsidR="004574C2" w:rsidRPr="00B6538E">
        <w:rPr>
          <w:lang w:val="fo-FO"/>
        </w:rPr>
        <w:t xml:space="preserve"> sum </w:t>
      </w:r>
      <w:r w:rsidR="003650B6">
        <w:rPr>
          <w:lang w:val="fo-FO"/>
        </w:rPr>
        <w:t>er nevnt í § 1,</w:t>
      </w:r>
      <w:r w:rsidR="000144C9">
        <w:rPr>
          <w:lang w:val="fo-FO"/>
        </w:rPr>
        <w:t xml:space="preserve"> stk. 1,</w:t>
      </w:r>
      <w:r w:rsidR="003650B6">
        <w:rPr>
          <w:lang w:val="fo-FO"/>
        </w:rPr>
        <w:t xml:space="preserve"> sum </w:t>
      </w:r>
      <w:r w:rsidR="004574C2" w:rsidRPr="00B6538E">
        <w:rPr>
          <w:lang w:val="fo-FO"/>
        </w:rPr>
        <w:t xml:space="preserve">kunnu </w:t>
      </w:r>
      <w:r w:rsidR="00716693">
        <w:rPr>
          <w:lang w:val="fo-FO"/>
        </w:rPr>
        <w:t xml:space="preserve">villleiða, </w:t>
      </w:r>
      <w:r w:rsidR="004574C2" w:rsidRPr="00B6538E">
        <w:rPr>
          <w:lang w:val="fo-FO"/>
        </w:rPr>
        <w:t xml:space="preserve">tarna </w:t>
      </w:r>
      <w:r w:rsidR="00716693" w:rsidRPr="00B6538E">
        <w:rPr>
          <w:lang w:val="fo-FO"/>
        </w:rPr>
        <w:t xml:space="preserve">ella kunnu tykjast </w:t>
      </w:r>
      <w:r w:rsidR="00716693">
        <w:rPr>
          <w:lang w:val="fo-FO"/>
        </w:rPr>
        <w:t xml:space="preserve">at </w:t>
      </w:r>
      <w:r w:rsidR="00716693">
        <w:rPr>
          <w:lang w:val="fo-FO"/>
        </w:rPr>
        <w:t xml:space="preserve">villleiða ella </w:t>
      </w:r>
      <w:r w:rsidR="00716693" w:rsidRPr="00B6538E">
        <w:rPr>
          <w:lang w:val="fo-FO"/>
        </w:rPr>
        <w:t xml:space="preserve">tarna siglandi ella aðrari ferðslu á sjónum. </w:t>
      </w:r>
    </w:p>
    <w:p w14:paraId="6C93510F" w14:textId="14E4E034" w:rsidR="001658B9" w:rsidRPr="00B6538E" w:rsidRDefault="001658B9" w:rsidP="001658B9">
      <w:pPr>
        <w:rPr>
          <w:lang w:val="fo-FO"/>
        </w:rPr>
      </w:pPr>
      <w:r w:rsidRPr="00891B2A">
        <w:rPr>
          <w:i/>
          <w:iCs/>
          <w:lang w:val="fo-FO"/>
        </w:rPr>
        <w:t>Stk. 3.</w:t>
      </w:r>
      <w:r w:rsidRPr="00B6538E">
        <w:rPr>
          <w:lang w:val="fo-FO"/>
        </w:rPr>
        <w:t xml:space="preserve"> Tað er ikki loyv</w:t>
      </w:r>
      <w:r>
        <w:rPr>
          <w:lang w:val="fo-FO"/>
        </w:rPr>
        <w:t>t</w:t>
      </w:r>
      <w:r w:rsidRPr="00B6538E">
        <w:rPr>
          <w:lang w:val="fo-FO"/>
        </w:rPr>
        <w:t xml:space="preserve"> at </w:t>
      </w:r>
      <w:r>
        <w:rPr>
          <w:lang w:val="fo-FO"/>
        </w:rPr>
        <w:t xml:space="preserve">broyta ella </w:t>
      </w:r>
      <w:r w:rsidRPr="00B6538E">
        <w:rPr>
          <w:lang w:val="fo-FO"/>
        </w:rPr>
        <w:t xml:space="preserve">taka niður loyvda </w:t>
      </w:r>
      <w:r w:rsidR="00322C82">
        <w:rPr>
          <w:lang w:val="fo-FO"/>
        </w:rPr>
        <w:t xml:space="preserve">vita </w:t>
      </w:r>
      <w:r w:rsidRPr="00B6538E">
        <w:rPr>
          <w:lang w:val="fo-FO"/>
        </w:rPr>
        <w:t>sjóuppmerking</w:t>
      </w:r>
      <w:r w:rsidR="00322C82">
        <w:rPr>
          <w:lang w:val="fo-FO"/>
        </w:rPr>
        <w:t xml:space="preserve">, </w:t>
      </w:r>
      <w:r w:rsidRPr="00B6538E">
        <w:rPr>
          <w:lang w:val="fo-FO"/>
        </w:rPr>
        <w:t xml:space="preserve"> siglingarmerki</w:t>
      </w:r>
      <w:r w:rsidR="00322C82">
        <w:rPr>
          <w:lang w:val="fo-FO"/>
        </w:rPr>
        <w:t>,</w:t>
      </w:r>
      <w:r w:rsidR="00322C82" w:rsidRPr="00322C82">
        <w:rPr>
          <w:lang w:val="fo-FO"/>
        </w:rPr>
        <w:t xml:space="preserve"> </w:t>
      </w:r>
      <w:r w:rsidR="00322C82">
        <w:rPr>
          <w:lang w:val="fo-FO"/>
        </w:rPr>
        <w:t>siglingarskipanir, siglingarávaringar</w:t>
      </w:r>
      <w:r w:rsidRPr="00B6538E">
        <w:rPr>
          <w:lang w:val="fo-FO"/>
        </w:rPr>
        <w:t xml:space="preserve"> </w:t>
      </w:r>
      <w:r w:rsidR="00322C82">
        <w:rPr>
          <w:lang w:val="fo-FO"/>
        </w:rPr>
        <w:t>og annað, sum er nevnt í § 1</w:t>
      </w:r>
      <w:r w:rsidR="008244D9">
        <w:rPr>
          <w:lang w:val="fo-FO"/>
        </w:rPr>
        <w:t xml:space="preserve">, </w:t>
      </w:r>
      <w:r w:rsidR="0094022E">
        <w:rPr>
          <w:lang w:val="fo-FO"/>
        </w:rPr>
        <w:t xml:space="preserve">stk. 1, </w:t>
      </w:r>
      <w:r w:rsidRPr="00B6538E">
        <w:rPr>
          <w:lang w:val="fo-FO"/>
        </w:rPr>
        <w:t xml:space="preserve">uttan loyvi frá Sjóvinnustýrinum. </w:t>
      </w:r>
    </w:p>
    <w:p w14:paraId="6A99931A" w14:textId="2FF28271" w:rsidR="001658B9" w:rsidRPr="00B6538E" w:rsidRDefault="001658B9" w:rsidP="001658B9">
      <w:pPr>
        <w:rPr>
          <w:lang w:val="fo-FO"/>
        </w:rPr>
      </w:pPr>
      <w:r w:rsidRPr="00891B2A">
        <w:rPr>
          <w:i/>
          <w:iCs/>
          <w:lang w:val="fo-FO"/>
        </w:rPr>
        <w:t>Stk. 5.</w:t>
      </w:r>
      <w:r w:rsidRPr="00B6538E">
        <w:rPr>
          <w:lang w:val="fo-FO"/>
        </w:rPr>
        <w:t xml:space="preserve"> Tað er ikki loyvt at brúka </w:t>
      </w:r>
      <w:r w:rsidR="008244D9">
        <w:rPr>
          <w:lang w:val="fo-FO"/>
        </w:rPr>
        <w:t xml:space="preserve">vita, </w:t>
      </w:r>
      <w:r w:rsidRPr="00B6538E">
        <w:rPr>
          <w:lang w:val="fo-FO"/>
        </w:rPr>
        <w:t>sjóuppmerking ella onnur sjómerki sum fest</w:t>
      </w:r>
      <w:r>
        <w:rPr>
          <w:lang w:val="fo-FO"/>
        </w:rPr>
        <w:t>i</w:t>
      </w:r>
      <w:r w:rsidRPr="00B6538E">
        <w:rPr>
          <w:lang w:val="fo-FO"/>
        </w:rPr>
        <w:t xml:space="preserve"> ella at festa í fiskireiðskap o</w:t>
      </w:r>
      <w:r w:rsidR="00EE03CC">
        <w:rPr>
          <w:lang w:val="fo-FO"/>
        </w:rPr>
        <w:t>g annað</w:t>
      </w:r>
      <w:r w:rsidRPr="00B6538E">
        <w:rPr>
          <w:lang w:val="fo-FO"/>
        </w:rPr>
        <w:t xml:space="preserve">. </w:t>
      </w:r>
    </w:p>
    <w:p w14:paraId="20AD2BFB" w14:textId="77777777" w:rsidR="001658B9" w:rsidRDefault="001658B9" w:rsidP="00D33363">
      <w:pPr>
        <w:jc w:val="center"/>
        <w:rPr>
          <w:lang w:val="fo-FO"/>
        </w:rPr>
      </w:pPr>
    </w:p>
    <w:p w14:paraId="5C22B042" w14:textId="294C4206" w:rsidR="00D55382" w:rsidRPr="00D33363" w:rsidRDefault="00D55382" w:rsidP="00D33363">
      <w:pPr>
        <w:jc w:val="center"/>
        <w:rPr>
          <w:i/>
          <w:iCs/>
          <w:lang w:val="fo-FO"/>
        </w:rPr>
      </w:pPr>
      <w:r w:rsidRPr="00D33363">
        <w:rPr>
          <w:i/>
          <w:iCs/>
          <w:lang w:val="fo-FO"/>
        </w:rPr>
        <w:lastRenderedPageBreak/>
        <w:t>Loyvi</w:t>
      </w:r>
    </w:p>
    <w:p w14:paraId="5F5CC288" w14:textId="77777777" w:rsidR="00D55382" w:rsidRPr="00B6538E" w:rsidRDefault="00D55382" w:rsidP="001658B9">
      <w:pPr>
        <w:rPr>
          <w:lang w:val="fo-FO"/>
        </w:rPr>
      </w:pPr>
    </w:p>
    <w:p w14:paraId="2E7D065D" w14:textId="0A08A404" w:rsidR="001658B9" w:rsidRDefault="001658B9" w:rsidP="001658B9">
      <w:pPr>
        <w:rPr>
          <w:lang w:val="fo-FO"/>
        </w:rPr>
      </w:pPr>
      <w:r w:rsidRPr="00C436BC">
        <w:rPr>
          <w:b/>
          <w:bCs/>
          <w:lang w:val="fo-FO"/>
        </w:rPr>
        <w:t xml:space="preserve">§ </w:t>
      </w:r>
      <w:r w:rsidR="009A1CFD">
        <w:rPr>
          <w:b/>
          <w:bCs/>
          <w:lang w:val="fo-FO"/>
        </w:rPr>
        <w:t>4</w:t>
      </w:r>
      <w:r w:rsidRPr="00C436BC">
        <w:rPr>
          <w:b/>
          <w:bCs/>
          <w:lang w:val="fo-FO"/>
        </w:rPr>
        <w:t>.</w:t>
      </w:r>
      <w:r w:rsidRPr="00B6538E">
        <w:rPr>
          <w:lang w:val="fo-FO"/>
        </w:rPr>
        <w:t xml:space="preserve"> </w:t>
      </w:r>
      <w:r>
        <w:rPr>
          <w:lang w:val="fo-FO"/>
        </w:rPr>
        <w:t xml:space="preserve">Sjóvinnustýrið kann eftir umsókn geva loyvi at seta upp, broyta, flyta ella taka burtur </w:t>
      </w:r>
      <w:r w:rsidR="005A115B">
        <w:rPr>
          <w:lang w:val="fo-FO"/>
        </w:rPr>
        <w:t xml:space="preserve">vita, </w:t>
      </w:r>
      <w:r>
        <w:rPr>
          <w:lang w:val="fo-FO"/>
        </w:rPr>
        <w:t xml:space="preserve">sjóuppmerking, </w:t>
      </w:r>
      <w:r w:rsidRPr="00B6538E">
        <w:rPr>
          <w:lang w:val="fo-FO"/>
        </w:rPr>
        <w:t>siglingarmerki</w:t>
      </w:r>
      <w:r>
        <w:rPr>
          <w:lang w:val="fo-FO"/>
        </w:rPr>
        <w:t>, siglingarskipan,</w:t>
      </w:r>
      <w:r w:rsidRPr="00B6538E">
        <w:rPr>
          <w:lang w:val="fo-FO"/>
        </w:rPr>
        <w:t xml:space="preserve"> siglingarávaring</w:t>
      </w:r>
      <w:r>
        <w:rPr>
          <w:lang w:val="fo-FO"/>
        </w:rPr>
        <w:t xml:space="preserve"> o</w:t>
      </w:r>
      <w:r w:rsidR="005A115B">
        <w:rPr>
          <w:lang w:val="fo-FO"/>
        </w:rPr>
        <w:t>g annað, sum er nevnt í § 1</w:t>
      </w:r>
      <w:r w:rsidR="00A522C4">
        <w:rPr>
          <w:lang w:val="fo-FO"/>
        </w:rPr>
        <w:t>, stk. 1</w:t>
      </w:r>
      <w:r>
        <w:rPr>
          <w:lang w:val="fo-FO"/>
        </w:rPr>
        <w:t xml:space="preserve">. Umsóknin skal í minsta lagi hava upplýsingar um: </w:t>
      </w:r>
    </w:p>
    <w:p w14:paraId="0D69F0E2" w14:textId="77777777" w:rsidR="001658B9" w:rsidRDefault="001658B9" w:rsidP="001658B9">
      <w:pPr>
        <w:pStyle w:val="ListParagraph"/>
        <w:numPr>
          <w:ilvl w:val="0"/>
          <w:numId w:val="2"/>
        </w:numPr>
        <w:rPr>
          <w:lang w:val="fo-FO"/>
        </w:rPr>
      </w:pPr>
      <w:r>
        <w:rPr>
          <w:lang w:val="fo-FO"/>
        </w:rPr>
        <w:t>Endamál</w:t>
      </w:r>
    </w:p>
    <w:p w14:paraId="344AD270" w14:textId="77777777" w:rsidR="001658B9" w:rsidRDefault="001658B9" w:rsidP="001658B9">
      <w:pPr>
        <w:pStyle w:val="ListParagraph"/>
        <w:numPr>
          <w:ilvl w:val="0"/>
          <w:numId w:val="2"/>
        </w:numPr>
        <w:rPr>
          <w:lang w:val="fo-FO"/>
        </w:rPr>
      </w:pPr>
      <w:r>
        <w:rPr>
          <w:lang w:val="fo-FO"/>
        </w:rPr>
        <w:t>Knattstøðu (staðseting)</w:t>
      </w:r>
    </w:p>
    <w:p w14:paraId="3577DF57" w14:textId="77777777" w:rsidR="001658B9" w:rsidRDefault="001658B9" w:rsidP="001658B9">
      <w:pPr>
        <w:pStyle w:val="ListParagraph"/>
        <w:numPr>
          <w:ilvl w:val="0"/>
          <w:numId w:val="2"/>
        </w:numPr>
        <w:rPr>
          <w:lang w:val="fo-FO"/>
        </w:rPr>
      </w:pPr>
      <w:r>
        <w:rPr>
          <w:lang w:val="fo-FO"/>
        </w:rPr>
        <w:t xml:space="preserve">Tíðarskeið (t.d. alt árið ella ávís tíðarskeið) </w:t>
      </w:r>
    </w:p>
    <w:p w14:paraId="52BFDF7A" w14:textId="77777777" w:rsidR="001658B9" w:rsidRDefault="001658B9" w:rsidP="001658B9">
      <w:pPr>
        <w:pStyle w:val="ListParagraph"/>
        <w:numPr>
          <w:ilvl w:val="0"/>
          <w:numId w:val="2"/>
        </w:numPr>
        <w:rPr>
          <w:lang w:val="fo-FO"/>
        </w:rPr>
      </w:pPr>
      <w:r>
        <w:rPr>
          <w:lang w:val="fo-FO"/>
        </w:rPr>
        <w:t xml:space="preserve">Tíðspunkt fyri </w:t>
      </w:r>
      <w:proofErr w:type="spellStart"/>
      <w:r>
        <w:rPr>
          <w:lang w:val="fo-FO"/>
        </w:rPr>
        <w:t>uppsetan</w:t>
      </w:r>
      <w:proofErr w:type="spellEnd"/>
      <w:r>
        <w:rPr>
          <w:lang w:val="fo-FO"/>
        </w:rPr>
        <w:t>, broyting og burturtøku</w:t>
      </w:r>
    </w:p>
    <w:p w14:paraId="25ED211D" w14:textId="77777777" w:rsidR="001658B9" w:rsidRDefault="001658B9" w:rsidP="001658B9">
      <w:pPr>
        <w:pStyle w:val="ListParagraph"/>
        <w:numPr>
          <w:ilvl w:val="0"/>
          <w:numId w:val="2"/>
        </w:numPr>
        <w:rPr>
          <w:lang w:val="fo-FO"/>
        </w:rPr>
      </w:pPr>
      <w:r>
        <w:rPr>
          <w:lang w:val="fo-FO"/>
        </w:rPr>
        <w:t>Slag av sjóuppmerking</w:t>
      </w:r>
    </w:p>
    <w:p w14:paraId="151C2E8E" w14:textId="77777777" w:rsidR="001658B9" w:rsidRDefault="001658B9" w:rsidP="001658B9">
      <w:pPr>
        <w:pStyle w:val="ListParagraph"/>
        <w:numPr>
          <w:ilvl w:val="0"/>
          <w:numId w:val="2"/>
        </w:numPr>
        <w:rPr>
          <w:lang w:val="fo-FO"/>
        </w:rPr>
      </w:pPr>
      <w:r>
        <w:rPr>
          <w:lang w:val="fo-FO"/>
        </w:rPr>
        <w:t>Samskiftisupplýsingar hjá umsøkjara</w:t>
      </w:r>
    </w:p>
    <w:p w14:paraId="7532A8F7" w14:textId="77777777" w:rsidR="001658B9" w:rsidRDefault="001658B9" w:rsidP="001658B9">
      <w:pPr>
        <w:pStyle w:val="ListParagraph"/>
        <w:numPr>
          <w:ilvl w:val="0"/>
          <w:numId w:val="2"/>
        </w:numPr>
        <w:rPr>
          <w:lang w:val="fo-FO"/>
        </w:rPr>
      </w:pPr>
      <w:r>
        <w:rPr>
          <w:lang w:val="fo-FO"/>
        </w:rPr>
        <w:t>Samskiftisupplýsingar hjá eigara</w:t>
      </w:r>
    </w:p>
    <w:p w14:paraId="33891274" w14:textId="77777777" w:rsidR="001658B9" w:rsidRDefault="001658B9" w:rsidP="001658B9">
      <w:pPr>
        <w:pStyle w:val="ListParagraph"/>
        <w:numPr>
          <w:ilvl w:val="0"/>
          <w:numId w:val="2"/>
        </w:numPr>
        <w:rPr>
          <w:lang w:val="fo-FO"/>
        </w:rPr>
      </w:pPr>
      <w:r>
        <w:rPr>
          <w:lang w:val="fo-FO"/>
        </w:rPr>
        <w:t xml:space="preserve">Samskiftisupplýsingar hjá tí, sum rekur </w:t>
      </w:r>
      <w:proofErr w:type="spellStart"/>
      <w:r>
        <w:rPr>
          <w:lang w:val="fo-FO"/>
        </w:rPr>
        <w:t>sjóuppmerkingina</w:t>
      </w:r>
      <w:proofErr w:type="spellEnd"/>
      <w:r>
        <w:rPr>
          <w:lang w:val="fo-FO"/>
        </w:rPr>
        <w:t xml:space="preserve">, </w:t>
      </w:r>
      <w:r w:rsidRPr="00B6538E">
        <w:rPr>
          <w:lang w:val="fo-FO"/>
        </w:rPr>
        <w:t>siglingarmerki</w:t>
      </w:r>
      <w:r>
        <w:rPr>
          <w:lang w:val="fo-FO"/>
        </w:rPr>
        <w:t>ð, siglingarskipanina,</w:t>
      </w:r>
      <w:r w:rsidRPr="00B6538E">
        <w:rPr>
          <w:lang w:val="fo-FO"/>
        </w:rPr>
        <w:t xml:space="preserve"> </w:t>
      </w:r>
      <w:r>
        <w:rPr>
          <w:lang w:val="fo-FO"/>
        </w:rPr>
        <w:t xml:space="preserve">ella </w:t>
      </w:r>
      <w:r w:rsidRPr="00B6538E">
        <w:rPr>
          <w:lang w:val="fo-FO"/>
        </w:rPr>
        <w:t>siglingarávaring</w:t>
      </w:r>
      <w:r>
        <w:rPr>
          <w:lang w:val="fo-FO"/>
        </w:rPr>
        <w:t xml:space="preserve">ina </w:t>
      </w:r>
      <w:proofErr w:type="spellStart"/>
      <w:r>
        <w:rPr>
          <w:lang w:val="fo-FO"/>
        </w:rPr>
        <w:t>o.a</w:t>
      </w:r>
      <w:proofErr w:type="spellEnd"/>
    </w:p>
    <w:p w14:paraId="2C95B665" w14:textId="343285B2" w:rsidR="001658B9" w:rsidRDefault="001658B9" w:rsidP="001658B9">
      <w:pPr>
        <w:rPr>
          <w:lang w:val="fo-FO"/>
        </w:rPr>
      </w:pPr>
      <w:r w:rsidRPr="00D33363">
        <w:rPr>
          <w:i/>
          <w:iCs/>
          <w:lang w:val="fo-FO"/>
        </w:rPr>
        <w:t>Stk. 2.</w:t>
      </w:r>
      <w:r>
        <w:rPr>
          <w:lang w:val="fo-FO"/>
        </w:rPr>
        <w:t xml:space="preserve"> Sjóvinnustýrið kann í loyvinum sambært stk. 1 áseta nærri treytir, undir hesum um </w:t>
      </w:r>
      <w:proofErr w:type="spellStart"/>
      <w:r>
        <w:rPr>
          <w:lang w:val="fo-FO"/>
        </w:rPr>
        <w:t>uppsetan</w:t>
      </w:r>
      <w:proofErr w:type="spellEnd"/>
      <w:r>
        <w:rPr>
          <w:lang w:val="fo-FO"/>
        </w:rPr>
        <w:t>, rakstur, røkt, afturtøku o</w:t>
      </w:r>
      <w:r w:rsidR="00F32A60">
        <w:rPr>
          <w:lang w:val="fo-FO"/>
        </w:rPr>
        <w:t>g annað.</w:t>
      </w:r>
      <w:r>
        <w:rPr>
          <w:lang w:val="fo-FO"/>
        </w:rPr>
        <w:t xml:space="preserve"> </w:t>
      </w:r>
    </w:p>
    <w:p w14:paraId="06831AC2" w14:textId="77777777" w:rsidR="001658B9" w:rsidRDefault="001658B9" w:rsidP="001658B9">
      <w:pPr>
        <w:rPr>
          <w:lang w:val="fo-FO"/>
        </w:rPr>
      </w:pPr>
      <w:r w:rsidRPr="00D33363">
        <w:rPr>
          <w:i/>
          <w:iCs/>
          <w:lang w:val="fo-FO"/>
        </w:rPr>
        <w:t>Stk. 3.</w:t>
      </w:r>
      <w:r>
        <w:rPr>
          <w:lang w:val="fo-FO"/>
        </w:rPr>
        <w:t xml:space="preserve"> Sjóvinnustýrið kann taka avgerð um at taka loyvi sambært stk. 1 aftur, um treytirnar ikki verða fylgdar. </w:t>
      </w:r>
    </w:p>
    <w:p w14:paraId="6EA644B0" w14:textId="77777777" w:rsidR="001658B9" w:rsidRPr="00170FD0" w:rsidRDefault="001658B9" w:rsidP="001658B9">
      <w:pPr>
        <w:rPr>
          <w:lang w:val="fo-FO"/>
        </w:rPr>
      </w:pPr>
      <w:r w:rsidRPr="00D33363">
        <w:rPr>
          <w:i/>
          <w:iCs/>
          <w:lang w:val="fo-FO"/>
        </w:rPr>
        <w:t>Stk. 4.</w:t>
      </w:r>
      <w:r>
        <w:rPr>
          <w:lang w:val="fo-FO"/>
        </w:rPr>
        <w:t xml:space="preserve"> Sjóvinnustýrið kann taka avgerð um at taka loyvi sambært stk. 1 aftur, um viðurskiftini á sjónum eru at meta sum broytt við atliti at trygdini á sjónum. </w:t>
      </w:r>
    </w:p>
    <w:p w14:paraId="7BA60753" w14:textId="77777777" w:rsidR="001658B9" w:rsidRPr="00B6538E" w:rsidRDefault="001658B9" w:rsidP="001658B9">
      <w:pPr>
        <w:rPr>
          <w:lang w:val="fo-FO"/>
        </w:rPr>
      </w:pPr>
      <w:r w:rsidRPr="00F32A60">
        <w:rPr>
          <w:i/>
          <w:iCs/>
          <w:lang w:val="fo-FO"/>
        </w:rPr>
        <w:t>Stk. 5.</w:t>
      </w:r>
      <w:r>
        <w:rPr>
          <w:lang w:val="fo-FO"/>
        </w:rPr>
        <w:t xml:space="preserve"> </w:t>
      </w:r>
      <w:r w:rsidRPr="00B6538E">
        <w:rPr>
          <w:lang w:val="fo-FO"/>
        </w:rPr>
        <w:t>Sjóvinnustýrið kann krevja</w:t>
      </w:r>
      <w:r>
        <w:rPr>
          <w:lang w:val="fo-FO"/>
        </w:rPr>
        <w:t xml:space="preserve"> og geva boð um</w:t>
      </w:r>
      <w:r w:rsidRPr="00B6538E">
        <w:rPr>
          <w:lang w:val="fo-FO"/>
        </w:rPr>
        <w:t xml:space="preserve">, at sjóuppmerking verður sett upp. </w:t>
      </w:r>
    </w:p>
    <w:p w14:paraId="2B73F0DE" w14:textId="2D7D16D2" w:rsidR="001658B9" w:rsidRDefault="001658B9" w:rsidP="001658B9">
      <w:pPr>
        <w:rPr>
          <w:lang w:val="fo-FO"/>
        </w:rPr>
      </w:pPr>
      <w:r w:rsidRPr="00F32A60">
        <w:rPr>
          <w:i/>
          <w:iCs/>
          <w:lang w:val="fo-FO"/>
        </w:rPr>
        <w:t>Stk. 6.</w:t>
      </w:r>
      <w:r w:rsidRPr="00B6538E">
        <w:rPr>
          <w:lang w:val="fo-FO"/>
        </w:rPr>
        <w:t xml:space="preserve"> Sjóvinnustýrið kann krevja</w:t>
      </w:r>
      <w:r>
        <w:rPr>
          <w:lang w:val="fo-FO"/>
        </w:rPr>
        <w:t xml:space="preserve"> og geva boð um</w:t>
      </w:r>
      <w:r w:rsidRPr="00B6538E">
        <w:rPr>
          <w:lang w:val="fo-FO"/>
        </w:rPr>
        <w:t>, at broytingar verða gjørdar í ver</w:t>
      </w:r>
      <w:r>
        <w:rPr>
          <w:lang w:val="fo-FO"/>
        </w:rPr>
        <w:t>a</w:t>
      </w:r>
      <w:r w:rsidRPr="00B6538E">
        <w:rPr>
          <w:lang w:val="fo-FO"/>
        </w:rPr>
        <w:t xml:space="preserve">ndi </w:t>
      </w:r>
      <w:r>
        <w:rPr>
          <w:lang w:val="fo-FO"/>
        </w:rPr>
        <w:t xml:space="preserve">vita, </w:t>
      </w:r>
      <w:r w:rsidRPr="00B6538E">
        <w:rPr>
          <w:lang w:val="fo-FO"/>
        </w:rPr>
        <w:t>sjóuppmerking</w:t>
      </w:r>
      <w:r>
        <w:rPr>
          <w:lang w:val="fo-FO"/>
        </w:rPr>
        <w:t xml:space="preserve">, siglingarmerki, siglingarskipan </w:t>
      </w:r>
      <w:r w:rsidRPr="00B6538E">
        <w:rPr>
          <w:lang w:val="fo-FO"/>
        </w:rPr>
        <w:t>ella siglingar</w:t>
      </w:r>
      <w:r>
        <w:rPr>
          <w:lang w:val="fo-FO"/>
        </w:rPr>
        <w:t>ávaring o</w:t>
      </w:r>
      <w:r w:rsidR="00651E28">
        <w:rPr>
          <w:lang w:val="fo-FO"/>
        </w:rPr>
        <w:t xml:space="preserve">g øðrum </w:t>
      </w:r>
      <w:r>
        <w:rPr>
          <w:lang w:val="fo-FO"/>
        </w:rPr>
        <w:t xml:space="preserve">við </w:t>
      </w:r>
      <w:r w:rsidRPr="00B6538E">
        <w:rPr>
          <w:lang w:val="fo-FO"/>
        </w:rPr>
        <w:t xml:space="preserve">atliti at trygdini á sjónum. </w:t>
      </w:r>
    </w:p>
    <w:p w14:paraId="19EC35EA" w14:textId="7947C62F" w:rsidR="001658B9" w:rsidRDefault="001658B9" w:rsidP="001658B9">
      <w:pPr>
        <w:rPr>
          <w:lang w:val="fo-FO"/>
        </w:rPr>
      </w:pPr>
      <w:r w:rsidRPr="00891B2A">
        <w:rPr>
          <w:i/>
          <w:iCs/>
          <w:lang w:val="fo-FO"/>
        </w:rPr>
        <w:t xml:space="preserve">Stk. </w:t>
      </w:r>
      <w:r>
        <w:rPr>
          <w:i/>
          <w:iCs/>
          <w:lang w:val="fo-FO"/>
        </w:rPr>
        <w:t>7</w:t>
      </w:r>
      <w:r w:rsidRPr="00891B2A">
        <w:rPr>
          <w:i/>
          <w:iCs/>
          <w:lang w:val="fo-FO"/>
        </w:rPr>
        <w:t>.</w:t>
      </w:r>
      <w:r w:rsidRPr="005675DF">
        <w:rPr>
          <w:lang w:val="fo-FO"/>
        </w:rPr>
        <w:t xml:space="preserve"> </w:t>
      </w:r>
      <w:r w:rsidRPr="00B6538E">
        <w:rPr>
          <w:lang w:val="fo-FO"/>
        </w:rPr>
        <w:t>Sjóvinnustýrið kann krevja</w:t>
      </w:r>
      <w:r>
        <w:rPr>
          <w:lang w:val="fo-FO"/>
        </w:rPr>
        <w:t xml:space="preserve"> og geva boð um</w:t>
      </w:r>
      <w:r w:rsidRPr="00B6538E">
        <w:rPr>
          <w:lang w:val="fo-FO"/>
        </w:rPr>
        <w:t xml:space="preserve">, at </w:t>
      </w:r>
      <w:r>
        <w:rPr>
          <w:lang w:val="fo-FO"/>
        </w:rPr>
        <w:t xml:space="preserve">viti, </w:t>
      </w:r>
      <w:r w:rsidRPr="00B6538E">
        <w:rPr>
          <w:lang w:val="fo-FO"/>
        </w:rPr>
        <w:t>sjóuppmerking</w:t>
      </w:r>
      <w:r>
        <w:rPr>
          <w:lang w:val="fo-FO"/>
        </w:rPr>
        <w:t>, siglingarmerki, siglingarskipan</w:t>
      </w:r>
      <w:r w:rsidR="00794169">
        <w:rPr>
          <w:lang w:val="fo-FO"/>
        </w:rPr>
        <w:t xml:space="preserve">, </w:t>
      </w:r>
      <w:r w:rsidRPr="00B6538E">
        <w:rPr>
          <w:lang w:val="fo-FO"/>
        </w:rPr>
        <w:t>siglingar</w:t>
      </w:r>
      <w:r>
        <w:rPr>
          <w:lang w:val="fo-FO"/>
        </w:rPr>
        <w:t xml:space="preserve">ávaring </w:t>
      </w:r>
      <w:r w:rsidR="00794169">
        <w:rPr>
          <w:lang w:val="fo-FO"/>
        </w:rPr>
        <w:t xml:space="preserve">ella annað </w:t>
      </w:r>
      <w:r>
        <w:rPr>
          <w:lang w:val="fo-FO"/>
        </w:rPr>
        <w:t xml:space="preserve">verður tikið burtur ella flutt </w:t>
      </w:r>
      <w:r w:rsidRPr="00B6538E">
        <w:rPr>
          <w:lang w:val="fo-FO"/>
        </w:rPr>
        <w:t>við atliti at trygdini á sjónum.</w:t>
      </w:r>
    </w:p>
    <w:p w14:paraId="774F3C94" w14:textId="3FF67482" w:rsidR="00C436BC" w:rsidRDefault="001658B9" w:rsidP="00895D86">
      <w:pPr>
        <w:rPr>
          <w:lang w:val="fo-FO"/>
        </w:rPr>
      </w:pPr>
      <w:r w:rsidRPr="00D33363">
        <w:rPr>
          <w:i/>
          <w:iCs/>
          <w:lang w:val="fo-FO"/>
        </w:rPr>
        <w:t>Stk. 8.</w:t>
      </w:r>
      <w:r>
        <w:rPr>
          <w:lang w:val="fo-FO"/>
        </w:rPr>
        <w:t xml:space="preserve"> Sjóvinnustýrið kann áseta nærri freist fyri, nær boð sambært stk. 4-7 skulu verða avgreidd.</w:t>
      </w:r>
    </w:p>
    <w:p w14:paraId="0EBFB865" w14:textId="77777777" w:rsidR="003462D5" w:rsidRPr="00B6538E" w:rsidRDefault="003462D5" w:rsidP="00895D86">
      <w:pPr>
        <w:rPr>
          <w:lang w:val="fo-FO"/>
        </w:rPr>
      </w:pPr>
    </w:p>
    <w:p w14:paraId="55833B5B" w14:textId="3FB2925B" w:rsidR="000E4438" w:rsidRDefault="003462D5" w:rsidP="00895D86">
      <w:pPr>
        <w:rPr>
          <w:lang w:val="fo-FO"/>
        </w:rPr>
      </w:pPr>
      <w:r w:rsidRPr="00C436BC">
        <w:rPr>
          <w:b/>
          <w:bCs/>
          <w:lang w:val="fo-FO"/>
        </w:rPr>
        <w:t xml:space="preserve">§ </w:t>
      </w:r>
      <w:r w:rsidR="009A1CFD">
        <w:rPr>
          <w:b/>
          <w:bCs/>
          <w:lang w:val="fo-FO"/>
        </w:rPr>
        <w:t>5</w:t>
      </w:r>
      <w:r w:rsidRPr="00C436BC">
        <w:rPr>
          <w:b/>
          <w:bCs/>
          <w:lang w:val="fo-FO"/>
        </w:rPr>
        <w:t>.</w:t>
      </w:r>
      <w:r w:rsidRPr="00B6538E">
        <w:rPr>
          <w:lang w:val="fo-FO"/>
        </w:rPr>
        <w:t xml:space="preserve"> Sjóvinnustýrið hevur eftirlit við</w:t>
      </w:r>
      <w:r w:rsidR="00A26A4B" w:rsidRPr="00B6538E">
        <w:rPr>
          <w:lang w:val="fo-FO"/>
        </w:rPr>
        <w:t xml:space="preserve"> </w:t>
      </w:r>
      <w:r w:rsidR="000E4438">
        <w:rPr>
          <w:lang w:val="fo-FO"/>
        </w:rPr>
        <w:t xml:space="preserve">vitum, </w:t>
      </w:r>
      <w:proofErr w:type="spellStart"/>
      <w:r w:rsidR="00F86AFD" w:rsidRPr="00B6538E">
        <w:rPr>
          <w:lang w:val="fo-FO"/>
        </w:rPr>
        <w:t>sjóuppmerking</w:t>
      </w:r>
      <w:r w:rsidR="00391126">
        <w:rPr>
          <w:lang w:val="fo-FO"/>
        </w:rPr>
        <w:t>um</w:t>
      </w:r>
      <w:proofErr w:type="spellEnd"/>
      <w:r w:rsidR="00CD0B7B">
        <w:rPr>
          <w:lang w:val="fo-FO"/>
        </w:rPr>
        <w:t>,</w:t>
      </w:r>
      <w:r w:rsidR="00F86AFD" w:rsidRPr="00B6538E">
        <w:rPr>
          <w:lang w:val="fo-FO"/>
        </w:rPr>
        <w:t xml:space="preserve"> </w:t>
      </w:r>
      <w:r w:rsidR="00CD0B7B" w:rsidRPr="00B6538E">
        <w:rPr>
          <w:lang w:val="fo-FO"/>
        </w:rPr>
        <w:t>siglingarmerk</w:t>
      </w:r>
      <w:r w:rsidR="00853131">
        <w:rPr>
          <w:lang w:val="fo-FO"/>
        </w:rPr>
        <w:t>jum</w:t>
      </w:r>
      <w:r w:rsidR="00CD0B7B">
        <w:rPr>
          <w:lang w:val="fo-FO"/>
        </w:rPr>
        <w:t>, siglingarskipan</w:t>
      </w:r>
      <w:r w:rsidR="00853131">
        <w:rPr>
          <w:lang w:val="fo-FO"/>
        </w:rPr>
        <w:t>um</w:t>
      </w:r>
      <w:r w:rsidR="00CD0B7B">
        <w:rPr>
          <w:lang w:val="fo-FO"/>
        </w:rPr>
        <w:t>,</w:t>
      </w:r>
      <w:r w:rsidR="00CD0B7B" w:rsidRPr="00B6538E">
        <w:rPr>
          <w:lang w:val="fo-FO"/>
        </w:rPr>
        <w:t xml:space="preserve"> siglingarávaring</w:t>
      </w:r>
      <w:r w:rsidR="00853131">
        <w:rPr>
          <w:lang w:val="fo-FO"/>
        </w:rPr>
        <w:t>um</w:t>
      </w:r>
      <w:r w:rsidR="00CD0B7B">
        <w:rPr>
          <w:lang w:val="fo-FO"/>
        </w:rPr>
        <w:t xml:space="preserve"> </w:t>
      </w:r>
      <w:r w:rsidR="00CD0B7B" w:rsidRPr="00B6538E">
        <w:rPr>
          <w:lang w:val="fo-FO"/>
        </w:rPr>
        <w:t>o</w:t>
      </w:r>
      <w:r w:rsidR="00657542">
        <w:rPr>
          <w:lang w:val="fo-FO"/>
        </w:rPr>
        <w:t>g øðrum, sum er nevnt í § 1, stk. 1.</w:t>
      </w:r>
    </w:p>
    <w:p w14:paraId="163EDEF5" w14:textId="18C3269A" w:rsidR="006553F6" w:rsidRDefault="009A047A" w:rsidP="00895D86">
      <w:pPr>
        <w:rPr>
          <w:lang w:val="fo-FO"/>
        </w:rPr>
      </w:pPr>
      <w:r w:rsidRPr="00891B2A">
        <w:rPr>
          <w:i/>
          <w:iCs/>
          <w:lang w:val="fo-FO"/>
        </w:rPr>
        <w:t>Stk. 2.</w:t>
      </w:r>
      <w:r>
        <w:rPr>
          <w:lang w:val="fo-FO"/>
        </w:rPr>
        <w:t xml:space="preserve"> </w:t>
      </w:r>
      <w:r w:rsidR="006553F6">
        <w:rPr>
          <w:lang w:val="fo-FO"/>
        </w:rPr>
        <w:t>Sjóvinnustýrið tekur avge</w:t>
      </w:r>
      <w:r w:rsidR="00603AA4">
        <w:rPr>
          <w:lang w:val="fo-FO"/>
        </w:rPr>
        <w:t>rð</w:t>
      </w:r>
      <w:r w:rsidR="00180207">
        <w:rPr>
          <w:lang w:val="fo-FO"/>
        </w:rPr>
        <w:t xml:space="preserve"> í málum um </w:t>
      </w:r>
      <w:r w:rsidR="006553F6">
        <w:rPr>
          <w:lang w:val="fo-FO"/>
        </w:rPr>
        <w:t>sjóuppmerking</w:t>
      </w:r>
      <w:r w:rsidR="00106336">
        <w:rPr>
          <w:lang w:val="fo-FO"/>
        </w:rPr>
        <w:t>,</w:t>
      </w:r>
      <w:r w:rsidR="006553F6">
        <w:rPr>
          <w:lang w:val="fo-FO"/>
        </w:rPr>
        <w:t xml:space="preserve"> </w:t>
      </w:r>
      <w:r w:rsidR="00106336" w:rsidRPr="00B6538E">
        <w:rPr>
          <w:lang w:val="fo-FO"/>
        </w:rPr>
        <w:t>siglingarmerki</w:t>
      </w:r>
      <w:r w:rsidR="00106336">
        <w:rPr>
          <w:lang w:val="fo-FO"/>
        </w:rPr>
        <w:t>, siglingarskipanir,</w:t>
      </w:r>
      <w:r w:rsidR="00106336" w:rsidRPr="00B6538E">
        <w:rPr>
          <w:lang w:val="fo-FO"/>
        </w:rPr>
        <w:t xml:space="preserve"> siglingarávaringar o</w:t>
      </w:r>
      <w:r w:rsidR="00C7596C">
        <w:rPr>
          <w:lang w:val="fo-FO"/>
        </w:rPr>
        <w:t xml:space="preserve">g øðrum, sum er nevnt í § 1, stk. 1, </w:t>
      </w:r>
      <w:r w:rsidR="006553F6">
        <w:rPr>
          <w:lang w:val="fo-FO"/>
        </w:rPr>
        <w:t>eru í samsvari við endamál</w:t>
      </w:r>
      <w:r w:rsidR="00AA51B6">
        <w:rPr>
          <w:lang w:val="fo-FO"/>
        </w:rPr>
        <w:t xml:space="preserve">ini </w:t>
      </w:r>
      <w:r w:rsidR="006553F6">
        <w:rPr>
          <w:lang w:val="fo-FO"/>
        </w:rPr>
        <w:t>um trygd á sjónum.</w:t>
      </w:r>
      <w:r w:rsidR="00DE79F8">
        <w:rPr>
          <w:lang w:val="fo-FO"/>
        </w:rPr>
        <w:t xml:space="preserve"> </w:t>
      </w:r>
    </w:p>
    <w:p w14:paraId="068A7603" w14:textId="6386C8D2" w:rsidR="000E4438" w:rsidRDefault="000E4438" w:rsidP="00895D86">
      <w:pPr>
        <w:rPr>
          <w:lang w:val="fo-FO"/>
        </w:rPr>
      </w:pPr>
      <w:r>
        <w:rPr>
          <w:lang w:val="fo-FO"/>
        </w:rPr>
        <w:t xml:space="preserve">Stk. 3. Landsverk kann útinna eftirlit vegna Sjóvinnustýrið sambært stk. 1. </w:t>
      </w:r>
    </w:p>
    <w:p w14:paraId="74B40C5A" w14:textId="77777777" w:rsidR="006553F6" w:rsidRPr="00B6538E" w:rsidRDefault="006553F6" w:rsidP="00895D86">
      <w:pPr>
        <w:rPr>
          <w:lang w:val="fo-FO"/>
        </w:rPr>
      </w:pPr>
    </w:p>
    <w:p w14:paraId="0B2E04FC" w14:textId="2888CFD2" w:rsidR="00E63FA8" w:rsidRPr="00B6538E" w:rsidRDefault="00E63FA8" w:rsidP="00D33363">
      <w:pPr>
        <w:jc w:val="center"/>
        <w:rPr>
          <w:i/>
          <w:iCs/>
          <w:lang w:val="fo-FO"/>
        </w:rPr>
      </w:pPr>
      <w:r w:rsidRPr="00B6538E">
        <w:rPr>
          <w:i/>
          <w:iCs/>
          <w:lang w:val="fo-FO"/>
        </w:rPr>
        <w:t>Fráboðan</w:t>
      </w:r>
      <w:r w:rsidR="004C4705">
        <w:rPr>
          <w:i/>
          <w:iCs/>
          <w:lang w:val="fo-FO"/>
        </w:rPr>
        <w:t>skylda</w:t>
      </w:r>
    </w:p>
    <w:p w14:paraId="768AEC4B" w14:textId="77777777" w:rsidR="00E63FA8" w:rsidRPr="00B6538E" w:rsidRDefault="00E63FA8" w:rsidP="00895D86">
      <w:pPr>
        <w:rPr>
          <w:i/>
          <w:iCs/>
          <w:lang w:val="fo-FO"/>
        </w:rPr>
      </w:pPr>
    </w:p>
    <w:p w14:paraId="7587DFFF" w14:textId="4DADB312" w:rsidR="00567FA4" w:rsidRDefault="00F86AFD" w:rsidP="00895D86">
      <w:pPr>
        <w:rPr>
          <w:lang w:val="fo-FO"/>
        </w:rPr>
      </w:pPr>
      <w:r w:rsidRPr="00C436BC">
        <w:rPr>
          <w:b/>
          <w:bCs/>
          <w:lang w:val="fo-FO"/>
        </w:rPr>
        <w:t xml:space="preserve">§ </w:t>
      </w:r>
      <w:r w:rsidR="009A1CFD">
        <w:rPr>
          <w:b/>
          <w:bCs/>
          <w:lang w:val="fo-FO"/>
        </w:rPr>
        <w:t>6</w:t>
      </w:r>
      <w:r w:rsidRPr="00C436BC">
        <w:rPr>
          <w:b/>
          <w:bCs/>
          <w:lang w:val="fo-FO"/>
        </w:rPr>
        <w:t>.</w:t>
      </w:r>
      <w:r w:rsidRPr="00B6538E">
        <w:rPr>
          <w:lang w:val="fo-FO"/>
        </w:rPr>
        <w:t xml:space="preserve"> </w:t>
      </w:r>
      <w:r w:rsidR="00567FA4">
        <w:rPr>
          <w:lang w:val="fo-FO"/>
        </w:rPr>
        <w:t>Ein og hvør hevur skyld</w:t>
      </w:r>
      <w:r w:rsidR="00896A25">
        <w:rPr>
          <w:lang w:val="fo-FO"/>
        </w:rPr>
        <w:t xml:space="preserve">u </w:t>
      </w:r>
      <w:r w:rsidR="00567FA4">
        <w:rPr>
          <w:lang w:val="fo-FO"/>
        </w:rPr>
        <w:t>at fráboða</w:t>
      </w:r>
      <w:r w:rsidR="003B354D">
        <w:rPr>
          <w:lang w:val="fo-FO"/>
        </w:rPr>
        <w:t xml:space="preserve"> MRCC um </w:t>
      </w:r>
      <w:r w:rsidR="00B348C0">
        <w:rPr>
          <w:lang w:val="fo-FO"/>
        </w:rPr>
        <w:t>s</w:t>
      </w:r>
      <w:r w:rsidR="00567FA4">
        <w:rPr>
          <w:lang w:val="fo-FO"/>
        </w:rPr>
        <w:t>kað</w:t>
      </w:r>
      <w:r w:rsidR="00B348C0">
        <w:rPr>
          <w:lang w:val="fo-FO"/>
        </w:rPr>
        <w:t>a</w:t>
      </w:r>
      <w:r w:rsidR="00567FA4">
        <w:rPr>
          <w:lang w:val="fo-FO"/>
        </w:rPr>
        <w:t>, feil</w:t>
      </w:r>
      <w:r w:rsidR="00B348C0">
        <w:rPr>
          <w:lang w:val="fo-FO"/>
        </w:rPr>
        <w:t>i</w:t>
      </w:r>
      <w:r w:rsidR="00567FA4">
        <w:rPr>
          <w:lang w:val="fo-FO"/>
        </w:rPr>
        <w:t>, b</w:t>
      </w:r>
      <w:r w:rsidR="00567FA4" w:rsidRPr="00B6538E">
        <w:rPr>
          <w:lang w:val="fo-FO"/>
        </w:rPr>
        <w:t>rek</w:t>
      </w:r>
      <w:r w:rsidR="00B348C0">
        <w:rPr>
          <w:lang w:val="fo-FO"/>
        </w:rPr>
        <w:t>i</w:t>
      </w:r>
      <w:r w:rsidR="00567FA4">
        <w:rPr>
          <w:lang w:val="fo-FO"/>
        </w:rPr>
        <w:t xml:space="preserve">, </w:t>
      </w:r>
      <w:r w:rsidR="00567FA4" w:rsidRPr="00B6538E">
        <w:rPr>
          <w:lang w:val="fo-FO"/>
        </w:rPr>
        <w:t>mang</w:t>
      </w:r>
      <w:r w:rsidR="00567FA4">
        <w:rPr>
          <w:lang w:val="fo-FO"/>
        </w:rPr>
        <w:t>ul</w:t>
      </w:r>
      <w:r w:rsidR="00B348C0">
        <w:rPr>
          <w:lang w:val="fo-FO"/>
        </w:rPr>
        <w:t>i</w:t>
      </w:r>
      <w:r w:rsidR="00567FA4" w:rsidRPr="00B6538E">
        <w:rPr>
          <w:lang w:val="fo-FO"/>
        </w:rPr>
        <w:t xml:space="preserve"> </w:t>
      </w:r>
      <w:r w:rsidR="00567FA4">
        <w:rPr>
          <w:lang w:val="fo-FO"/>
        </w:rPr>
        <w:t>o</w:t>
      </w:r>
      <w:r w:rsidR="00D11CC3">
        <w:rPr>
          <w:lang w:val="fo-FO"/>
        </w:rPr>
        <w:t>g annað</w:t>
      </w:r>
      <w:r w:rsidR="00567FA4">
        <w:rPr>
          <w:lang w:val="fo-FO"/>
        </w:rPr>
        <w:t xml:space="preserve"> </w:t>
      </w:r>
      <w:r w:rsidR="00567FA4" w:rsidRPr="00B6538E">
        <w:rPr>
          <w:lang w:val="fo-FO"/>
        </w:rPr>
        <w:t xml:space="preserve">við </w:t>
      </w:r>
      <w:r w:rsidR="00567FA4">
        <w:rPr>
          <w:lang w:val="fo-FO"/>
        </w:rPr>
        <w:t xml:space="preserve">vita, </w:t>
      </w:r>
      <w:r w:rsidR="00567FA4" w:rsidRPr="00B6538E">
        <w:rPr>
          <w:lang w:val="fo-FO"/>
        </w:rPr>
        <w:t>sjóuppmerking</w:t>
      </w:r>
      <w:r w:rsidR="00567FA4">
        <w:rPr>
          <w:lang w:val="fo-FO"/>
        </w:rPr>
        <w:t xml:space="preserve">, </w:t>
      </w:r>
      <w:r w:rsidR="00567FA4" w:rsidRPr="00B6538E">
        <w:rPr>
          <w:lang w:val="fo-FO"/>
        </w:rPr>
        <w:t>siglingarmerki</w:t>
      </w:r>
      <w:r w:rsidR="00567FA4">
        <w:rPr>
          <w:lang w:val="fo-FO"/>
        </w:rPr>
        <w:t>, siglingarskipan,</w:t>
      </w:r>
      <w:r w:rsidR="00567FA4" w:rsidRPr="00B6538E">
        <w:rPr>
          <w:lang w:val="fo-FO"/>
        </w:rPr>
        <w:t xml:space="preserve"> siglingarávaring</w:t>
      </w:r>
      <w:r w:rsidR="00567FA4">
        <w:rPr>
          <w:lang w:val="fo-FO"/>
        </w:rPr>
        <w:t xml:space="preserve"> o</w:t>
      </w:r>
      <w:r w:rsidR="00D11CC3">
        <w:rPr>
          <w:lang w:val="fo-FO"/>
        </w:rPr>
        <w:t>g annað, sum er nevnt í § 1, stk. 1.</w:t>
      </w:r>
      <w:r w:rsidR="001C6A7B">
        <w:rPr>
          <w:lang w:val="fo-FO"/>
        </w:rPr>
        <w:t xml:space="preserve"> </w:t>
      </w:r>
    </w:p>
    <w:p w14:paraId="691AEB28" w14:textId="7014B660" w:rsidR="00641E2E" w:rsidRPr="00B6538E" w:rsidRDefault="00641E2E" w:rsidP="00641E2E">
      <w:pPr>
        <w:rPr>
          <w:lang w:val="fo-FO"/>
        </w:rPr>
      </w:pPr>
      <w:r w:rsidRPr="00B6538E">
        <w:rPr>
          <w:i/>
          <w:iCs/>
          <w:lang w:val="fo-FO"/>
        </w:rPr>
        <w:t>Stk. 2</w:t>
      </w:r>
      <w:r w:rsidRPr="00B6538E">
        <w:rPr>
          <w:lang w:val="fo-FO"/>
        </w:rPr>
        <w:t xml:space="preserve">. </w:t>
      </w:r>
      <w:r>
        <w:rPr>
          <w:lang w:val="fo-FO"/>
        </w:rPr>
        <w:t>MRCC</w:t>
      </w:r>
      <w:r w:rsidRPr="00B6538E">
        <w:rPr>
          <w:lang w:val="fo-FO"/>
        </w:rPr>
        <w:t xml:space="preserve"> metir, um fráboðanir sambært stk. 1, verða varpaðar út. Metir </w:t>
      </w:r>
      <w:r>
        <w:rPr>
          <w:lang w:val="fo-FO"/>
        </w:rPr>
        <w:t>MRCC</w:t>
      </w:r>
      <w:r w:rsidRPr="00B6538E">
        <w:rPr>
          <w:lang w:val="fo-FO"/>
        </w:rPr>
        <w:t>, at ávaring eigur at verða varpa</w:t>
      </w:r>
      <w:r>
        <w:rPr>
          <w:lang w:val="fo-FO"/>
        </w:rPr>
        <w:t>ð</w:t>
      </w:r>
      <w:r w:rsidRPr="00B6538E">
        <w:rPr>
          <w:lang w:val="fo-FO"/>
        </w:rPr>
        <w:t xml:space="preserve"> út, metir </w:t>
      </w:r>
      <w:r>
        <w:rPr>
          <w:lang w:val="fo-FO"/>
        </w:rPr>
        <w:t>MRCC</w:t>
      </w:r>
      <w:r w:rsidRPr="00B6538E">
        <w:rPr>
          <w:lang w:val="fo-FO"/>
        </w:rPr>
        <w:t xml:space="preserve"> um, hvør miðil er mettur at vera hóskandi. </w:t>
      </w:r>
      <w:r>
        <w:rPr>
          <w:lang w:val="fo-FO"/>
        </w:rPr>
        <w:t>MRCC</w:t>
      </w:r>
      <w:r w:rsidRPr="00B6538E">
        <w:rPr>
          <w:lang w:val="fo-FO"/>
        </w:rPr>
        <w:t xml:space="preserve"> kann varp</w:t>
      </w:r>
      <w:r>
        <w:rPr>
          <w:lang w:val="fo-FO"/>
        </w:rPr>
        <w:t>a</w:t>
      </w:r>
      <w:r w:rsidRPr="00B6538E">
        <w:rPr>
          <w:lang w:val="fo-FO"/>
        </w:rPr>
        <w:t xml:space="preserve"> út umvegis heimasíðu, </w:t>
      </w:r>
      <w:proofErr w:type="spellStart"/>
      <w:r w:rsidRPr="00B6538E">
        <w:rPr>
          <w:lang w:val="fo-FO"/>
        </w:rPr>
        <w:t>NAVTEX</w:t>
      </w:r>
      <w:proofErr w:type="spellEnd"/>
      <w:r w:rsidRPr="00B6538E">
        <w:rPr>
          <w:lang w:val="fo-FO"/>
        </w:rPr>
        <w:t>, útvarp o</w:t>
      </w:r>
      <w:r w:rsidR="003B4A69">
        <w:rPr>
          <w:lang w:val="fo-FO"/>
        </w:rPr>
        <w:t>g annað.</w:t>
      </w:r>
      <w:r w:rsidRPr="00B6538E">
        <w:rPr>
          <w:lang w:val="fo-FO"/>
        </w:rPr>
        <w:t xml:space="preserve"> </w:t>
      </w:r>
    </w:p>
    <w:p w14:paraId="06343233" w14:textId="2CC3DE7B" w:rsidR="00385AC5" w:rsidRDefault="00641E2E" w:rsidP="00895D86">
      <w:pPr>
        <w:rPr>
          <w:lang w:val="fo-FO"/>
        </w:rPr>
      </w:pPr>
      <w:r w:rsidRPr="00D33363">
        <w:rPr>
          <w:i/>
          <w:iCs/>
          <w:lang w:val="fo-FO"/>
        </w:rPr>
        <w:t>Stk. 3</w:t>
      </w:r>
      <w:r>
        <w:rPr>
          <w:lang w:val="fo-FO"/>
        </w:rPr>
        <w:t>.</w:t>
      </w:r>
      <w:r w:rsidR="0065339E" w:rsidRPr="00B6538E">
        <w:rPr>
          <w:lang w:val="fo-FO"/>
        </w:rPr>
        <w:t xml:space="preserve"> Tá ið </w:t>
      </w:r>
      <w:r w:rsidR="0065339E">
        <w:rPr>
          <w:lang w:val="fo-FO"/>
        </w:rPr>
        <w:t>skaði, feilur, b</w:t>
      </w:r>
      <w:r w:rsidR="0065339E" w:rsidRPr="00B6538E">
        <w:rPr>
          <w:lang w:val="fo-FO"/>
        </w:rPr>
        <w:t>rek</w:t>
      </w:r>
      <w:r w:rsidR="0065339E">
        <w:rPr>
          <w:lang w:val="fo-FO"/>
        </w:rPr>
        <w:t xml:space="preserve">, </w:t>
      </w:r>
      <w:r w:rsidR="0065339E" w:rsidRPr="00B6538E">
        <w:rPr>
          <w:lang w:val="fo-FO"/>
        </w:rPr>
        <w:t>mang</w:t>
      </w:r>
      <w:r w:rsidR="0065339E">
        <w:rPr>
          <w:lang w:val="fo-FO"/>
        </w:rPr>
        <w:t>ul</w:t>
      </w:r>
      <w:r w:rsidR="0065339E" w:rsidRPr="00B6538E">
        <w:rPr>
          <w:lang w:val="fo-FO"/>
        </w:rPr>
        <w:t xml:space="preserve"> </w:t>
      </w:r>
      <w:r w:rsidR="0065339E">
        <w:rPr>
          <w:lang w:val="fo-FO"/>
        </w:rPr>
        <w:t>og annað</w:t>
      </w:r>
      <w:r w:rsidR="0065339E" w:rsidRPr="00B6538E">
        <w:rPr>
          <w:lang w:val="fo-FO"/>
        </w:rPr>
        <w:t xml:space="preserve"> eru fingin í rætt</w:t>
      </w:r>
      <w:r w:rsidR="0065339E">
        <w:rPr>
          <w:lang w:val="fo-FO"/>
        </w:rPr>
        <w:t xml:space="preserve">lag </w:t>
      </w:r>
      <w:r w:rsidR="0065339E" w:rsidRPr="00B6538E">
        <w:rPr>
          <w:lang w:val="fo-FO"/>
        </w:rPr>
        <w:t xml:space="preserve">ella betraði verður hetta somuleiðis fráboðað </w:t>
      </w:r>
      <w:r w:rsidR="0065339E">
        <w:rPr>
          <w:lang w:val="fo-FO"/>
        </w:rPr>
        <w:t>MRCC.</w:t>
      </w:r>
    </w:p>
    <w:p w14:paraId="7E9165C1" w14:textId="605FB4C8" w:rsidR="00FB432C" w:rsidRPr="00B6538E" w:rsidRDefault="00FB432C" w:rsidP="00FB432C">
      <w:pPr>
        <w:rPr>
          <w:lang w:val="fo-FO"/>
        </w:rPr>
      </w:pPr>
      <w:r w:rsidRPr="00891B2A">
        <w:rPr>
          <w:i/>
          <w:iCs/>
          <w:lang w:val="fo-FO"/>
        </w:rPr>
        <w:t xml:space="preserve">Stk. </w:t>
      </w:r>
      <w:r w:rsidR="009A1CFD">
        <w:rPr>
          <w:i/>
          <w:iCs/>
          <w:lang w:val="fo-FO"/>
        </w:rPr>
        <w:t>4</w:t>
      </w:r>
      <w:r w:rsidR="0065339E">
        <w:rPr>
          <w:i/>
          <w:iCs/>
          <w:lang w:val="fo-FO"/>
        </w:rPr>
        <w:t xml:space="preserve">. </w:t>
      </w:r>
      <w:r w:rsidR="0065339E">
        <w:rPr>
          <w:lang w:val="fo-FO"/>
        </w:rPr>
        <w:t>MRCC boðar Sjóvinnustýrinum frá um viðurskifti sambært stk. 1</w:t>
      </w:r>
      <w:r w:rsidR="00C85CFD">
        <w:rPr>
          <w:lang w:val="fo-FO"/>
        </w:rPr>
        <w:t>-</w:t>
      </w:r>
      <w:r w:rsidR="0065339E">
        <w:rPr>
          <w:lang w:val="fo-FO"/>
        </w:rPr>
        <w:t>3</w:t>
      </w:r>
      <w:r w:rsidR="0065339E">
        <w:rPr>
          <w:lang w:val="fo-FO"/>
        </w:rPr>
        <w:t>.</w:t>
      </w:r>
    </w:p>
    <w:p w14:paraId="2C1AE860" w14:textId="77777777" w:rsidR="00A74E25" w:rsidRDefault="00A74E25" w:rsidP="00895D86">
      <w:pPr>
        <w:rPr>
          <w:lang w:val="fo-FO"/>
        </w:rPr>
      </w:pPr>
    </w:p>
    <w:p w14:paraId="79DA8BEE" w14:textId="55FCCE53" w:rsidR="0001130B" w:rsidRPr="0001130B" w:rsidRDefault="0001130B" w:rsidP="00895D86">
      <w:pPr>
        <w:rPr>
          <w:i/>
          <w:iCs/>
          <w:lang w:val="fo-FO"/>
        </w:rPr>
      </w:pPr>
      <w:r>
        <w:rPr>
          <w:lang w:val="fo-FO"/>
        </w:rPr>
        <w:tab/>
      </w:r>
      <w:r w:rsidRPr="0001130B">
        <w:rPr>
          <w:i/>
          <w:iCs/>
          <w:lang w:val="fo-FO"/>
        </w:rPr>
        <w:t>Lýsing og kunngerð</w:t>
      </w:r>
    </w:p>
    <w:p w14:paraId="10FF6017" w14:textId="77777777" w:rsidR="0001130B" w:rsidRDefault="0001130B" w:rsidP="00895D86">
      <w:pPr>
        <w:rPr>
          <w:lang w:val="fo-FO"/>
        </w:rPr>
      </w:pPr>
    </w:p>
    <w:p w14:paraId="53863104" w14:textId="7FC1D8E7" w:rsidR="00A74E25" w:rsidRPr="00B6538E" w:rsidRDefault="00A74E25" w:rsidP="00A74E25">
      <w:pPr>
        <w:rPr>
          <w:lang w:val="fo-FO"/>
        </w:rPr>
      </w:pPr>
      <w:r w:rsidRPr="00D35C65">
        <w:rPr>
          <w:b/>
          <w:bCs/>
          <w:lang w:val="fo-FO"/>
        </w:rPr>
        <w:t>§ 7.</w:t>
      </w:r>
      <w:r w:rsidRPr="00B6538E">
        <w:rPr>
          <w:lang w:val="fo-FO"/>
        </w:rPr>
        <w:t xml:space="preserve"> Sjóvinnustýrið kunngerð upplýsingar um</w:t>
      </w:r>
      <w:r w:rsidR="00EE3DC7">
        <w:rPr>
          <w:lang w:val="fo-FO"/>
        </w:rPr>
        <w:t xml:space="preserve"> vita,</w:t>
      </w:r>
      <w:r w:rsidRPr="00B6538E">
        <w:rPr>
          <w:lang w:val="fo-FO"/>
        </w:rPr>
        <w:t xml:space="preserve"> sjóuppmerking</w:t>
      </w:r>
      <w:r>
        <w:rPr>
          <w:lang w:val="fo-FO"/>
        </w:rPr>
        <w:t xml:space="preserve">, siglingarmerki, siglingarskipan </w:t>
      </w:r>
      <w:r w:rsidRPr="00B6538E">
        <w:rPr>
          <w:lang w:val="fo-FO"/>
        </w:rPr>
        <w:t>ella siglingar</w:t>
      </w:r>
      <w:r>
        <w:rPr>
          <w:lang w:val="fo-FO"/>
        </w:rPr>
        <w:t>ávaring o</w:t>
      </w:r>
      <w:r w:rsidR="00C85CFD">
        <w:rPr>
          <w:lang w:val="fo-FO"/>
        </w:rPr>
        <w:t>g annað, sum er nevnt í § 1, stk. 1</w:t>
      </w:r>
      <w:r w:rsidR="009827DC">
        <w:rPr>
          <w:lang w:val="fo-FO"/>
        </w:rPr>
        <w:t>, eftir hesi kunngerð.</w:t>
      </w:r>
      <w:r w:rsidRPr="00B6538E">
        <w:rPr>
          <w:lang w:val="fo-FO"/>
        </w:rPr>
        <w:t xml:space="preserve"> </w:t>
      </w:r>
    </w:p>
    <w:p w14:paraId="5E133BF2" w14:textId="77777777" w:rsidR="00A74E25" w:rsidRDefault="00A74E25" w:rsidP="00A74E25">
      <w:pPr>
        <w:rPr>
          <w:lang w:val="fo-FO"/>
        </w:rPr>
      </w:pPr>
      <w:r w:rsidRPr="00891B2A">
        <w:rPr>
          <w:i/>
          <w:iCs/>
          <w:lang w:val="fo-FO"/>
        </w:rPr>
        <w:t>Stk. 2.</w:t>
      </w:r>
      <w:r w:rsidRPr="00B6538E">
        <w:rPr>
          <w:lang w:val="fo-FO"/>
        </w:rPr>
        <w:t xml:space="preserve"> Sjóvinnustýrið kann gera avtalu við annan myndugleika um kunngerð av upplýsingum sambært stk. 1. </w:t>
      </w:r>
    </w:p>
    <w:p w14:paraId="22EFAD6D" w14:textId="3CF9D24B" w:rsidR="00A74E25" w:rsidRDefault="00A74E25" w:rsidP="00A74E25">
      <w:pPr>
        <w:rPr>
          <w:lang w:val="fo-FO"/>
        </w:rPr>
      </w:pPr>
      <w:r w:rsidRPr="00891B2A">
        <w:rPr>
          <w:i/>
          <w:iCs/>
          <w:lang w:val="fo-FO"/>
        </w:rPr>
        <w:t>Stk. 3.</w:t>
      </w:r>
      <w:r>
        <w:rPr>
          <w:lang w:val="fo-FO"/>
        </w:rPr>
        <w:t xml:space="preserve"> Sjóvinnustýrið kann móttaka og lata øðrum myndugleikum upplýsingar um </w:t>
      </w:r>
      <w:r w:rsidR="007B51A5">
        <w:rPr>
          <w:lang w:val="fo-FO"/>
        </w:rPr>
        <w:t xml:space="preserve">vita, </w:t>
      </w:r>
      <w:r w:rsidRPr="00B6538E">
        <w:rPr>
          <w:lang w:val="fo-FO"/>
        </w:rPr>
        <w:t>sjóuppmerking</w:t>
      </w:r>
      <w:r>
        <w:rPr>
          <w:lang w:val="fo-FO"/>
        </w:rPr>
        <w:t xml:space="preserve">, siglingarmerki, siglingarskipan </w:t>
      </w:r>
      <w:r w:rsidRPr="00B6538E">
        <w:rPr>
          <w:lang w:val="fo-FO"/>
        </w:rPr>
        <w:t>ella siglingar</w:t>
      </w:r>
      <w:r>
        <w:rPr>
          <w:lang w:val="fo-FO"/>
        </w:rPr>
        <w:t>ávaring o</w:t>
      </w:r>
      <w:r w:rsidR="005E302E">
        <w:rPr>
          <w:lang w:val="fo-FO"/>
        </w:rPr>
        <w:t>g annað, sum er nevnt í § 1, stk. 1.</w:t>
      </w:r>
      <w:r w:rsidR="000C06AC">
        <w:rPr>
          <w:lang w:val="fo-FO"/>
        </w:rPr>
        <w:t xml:space="preserve"> </w:t>
      </w:r>
    </w:p>
    <w:p w14:paraId="38CEEBE4" w14:textId="7D0F4D82" w:rsidR="00536F2B" w:rsidRDefault="0009227C" w:rsidP="00895D86">
      <w:pPr>
        <w:rPr>
          <w:lang w:val="fo-FO"/>
        </w:rPr>
      </w:pPr>
      <w:r>
        <w:rPr>
          <w:lang w:val="fo-FO"/>
        </w:rPr>
        <w:t xml:space="preserve">Stk. 4. </w:t>
      </w:r>
      <w:r w:rsidR="0033476B">
        <w:rPr>
          <w:lang w:val="fo-FO"/>
        </w:rPr>
        <w:t>Sjóvinnustýrið</w:t>
      </w:r>
      <w:r w:rsidR="009C5BC4">
        <w:rPr>
          <w:lang w:val="fo-FO"/>
        </w:rPr>
        <w:t xml:space="preserve"> </w:t>
      </w:r>
      <w:r w:rsidR="000E7253">
        <w:rPr>
          <w:lang w:val="fo-FO"/>
        </w:rPr>
        <w:t xml:space="preserve">boðar Sjókort </w:t>
      </w:r>
      <w:r w:rsidR="009B6C02">
        <w:rPr>
          <w:lang w:val="fo-FO"/>
        </w:rPr>
        <w:t>frá um v</w:t>
      </w:r>
      <w:r w:rsidR="000E7253">
        <w:rPr>
          <w:lang w:val="fo-FO"/>
        </w:rPr>
        <w:t>iðurskifti</w:t>
      </w:r>
      <w:r w:rsidR="00C0313D">
        <w:rPr>
          <w:lang w:val="fo-FO"/>
        </w:rPr>
        <w:t>,</w:t>
      </w:r>
      <w:r w:rsidR="009C5BC4">
        <w:rPr>
          <w:lang w:val="fo-FO"/>
        </w:rPr>
        <w:t xml:space="preserve"> sum</w:t>
      </w:r>
      <w:r w:rsidR="00707546">
        <w:rPr>
          <w:lang w:val="fo-FO"/>
        </w:rPr>
        <w:t xml:space="preserve"> </w:t>
      </w:r>
      <w:r w:rsidR="009C5BC4">
        <w:rPr>
          <w:lang w:val="fo-FO"/>
        </w:rPr>
        <w:t xml:space="preserve">hava </w:t>
      </w:r>
      <w:r w:rsidR="00D35C65">
        <w:rPr>
          <w:lang w:val="fo-FO"/>
        </w:rPr>
        <w:t xml:space="preserve">týdning fyri </w:t>
      </w:r>
      <w:r w:rsidR="00AC13DC">
        <w:rPr>
          <w:lang w:val="fo-FO"/>
        </w:rPr>
        <w:t xml:space="preserve">virksemi í </w:t>
      </w:r>
      <w:r w:rsidR="00D35C65">
        <w:rPr>
          <w:lang w:val="fo-FO"/>
        </w:rPr>
        <w:t>Sjókort.</w:t>
      </w:r>
      <w:r w:rsidR="000E7253">
        <w:rPr>
          <w:lang w:val="fo-FO"/>
        </w:rPr>
        <w:t xml:space="preserve"> </w:t>
      </w:r>
    </w:p>
    <w:p w14:paraId="0BC86CF8" w14:textId="715B0C56" w:rsidR="00D835E7" w:rsidRPr="00B6538E" w:rsidRDefault="00D835E7" w:rsidP="00895D86">
      <w:pPr>
        <w:rPr>
          <w:lang w:val="fo-FO"/>
        </w:rPr>
      </w:pPr>
      <w:r>
        <w:rPr>
          <w:lang w:val="fo-FO"/>
        </w:rPr>
        <w:tab/>
      </w:r>
      <w:r w:rsidR="001555EA">
        <w:rPr>
          <w:i/>
          <w:iCs/>
          <w:lang w:val="fo-FO"/>
        </w:rPr>
        <w:t>Revsing</w:t>
      </w:r>
    </w:p>
    <w:p w14:paraId="758AEFA6" w14:textId="77777777" w:rsidR="00CE21D8" w:rsidRPr="00B6538E" w:rsidRDefault="00CE21D8" w:rsidP="00895D86">
      <w:pPr>
        <w:rPr>
          <w:lang w:val="fo-FO"/>
        </w:rPr>
      </w:pPr>
    </w:p>
    <w:p w14:paraId="0F248061" w14:textId="7D203976" w:rsidR="00F462F9" w:rsidRDefault="00F462F9" w:rsidP="00895D86">
      <w:pPr>
        <w:rPr>
          <w:lang w:val="fo-FO"/>
        </w:rPr>
      </w:pPr>
      <w:r w:rsidRPr="00C436BC">
        <w:rPr>
          <w:b/>
          <w:bCs/>
          <w:lang w:val="fo-FO"/>
        </w:rPr>
        <w:t xml:space="preserve">§ </w:t>
      </w:r>
      <w:r w:rsidR="00D35C65">
        <w:rPr>
          <w:b/>
          <w:bCs/>
          <w:lang w:val="fo-FO"/>
        </w:rPr>
        <w:t>8</w:t>
      </w:r>
      <w:r w:rsidRPr="00C436BC">
        <w:rPr>
          <w:b/>
          <w:bCs/>
          <w:lang w:val="fo-FO"/>
        </w:rPr>
        <w:t>.</w:t>
      </w:r>
      <w:r w:rsidRPr="00B6538E">
        <w:rPr>
          <w:lang w:val="fo-FO"/>
        </w:rPr>
        <w:t xml:space="preserve"> Brot á </w:t>
      </w:r>
      <w:r w:rsidRPr="00BF5B1B">
        <w:rPr>
          <w:lang w:val="fo-FO"/>
        </w:rPr>
        <w:t xml:space="preserve">ásetingar í §§ </w:t>
      </w:r>
      <w:r w:rsidR="00BF5B1B" w:rsidRPr="00BF5B1B">
        <w:rPr>
          <w:lang w:val="fo-FO"/>
        </w:rPr>
        <w:t>3 og</w:t>
      </w:r>
      <w:r w:rsidR="008C24F4" w:rsidRPr="00BF5B1B">
        <w:rPr>
          <w:lang w:val="fo-FO"/>
        </w:rPr>
        <w:t xml:space="preserve"> </w:t>
      </w:r>
      <w:r w:rsidR="00FE125C" w:rsidRPr="00BF5B1B">
        <w:rPr>
          <w:lang w:val="fo-FO"/>
        </w:rPr>
        <w:t>6</w:t>
      </w:r>
      <w:r w:rsidR="00BF5B1B" w:rsidRPr="00BF5B1B">
        <w:rPr>
          <w:lang w:val="fo-FO"/>
        </w:rPr>
        <w:t xml:space="preserve"> </w:t>
      </w:r>
      <w:r w:rsidR="00F069EB" w:rsidRPr="00BF5B1B">
        <w:rPr>
          <w:lang w:val="fo-FO"/>
        </w:rPr>
        <w:t>kunnu</w:t>
      </w:r>
      <w:r w:rsidR="00F069EB" w:rsidRPr="00B6538E">
        <w:rPr>
          <w:lang w:val="fo-FO"/>
        </w:rPr>
        <w:t xml:space="preserve"> revsast við sekt.</w:t>
      </w:r>
    </w:p>
    <w:p w14:paraId="253B3683" w14:textId="7D9AA6DD" w:rsidR="00895D86" w:rsidRPr="00B6538E" w:rsidRDefault="00895D86" w:rsidP="00895D86">
      <w:pPr>
        <w:rPr>
          <w:lang w:val="fo-FO"/>
        </w:rPr>
      </w:pPr>
      <w:r w:rsidRPr="00B6538E">
        <w:rPr>
          <w:b/>
          <w:lang w:val="fo-FO"/>
        </w:rPr>
        <w:t xml:space="preserve">§ </w:t>
      </w:r>
      <w:r w:rsidR="00D35C65">
        <w:rPr>
          <w:b/>
          <w:lang w:val="fo-FO"/>
        </w:rPr>
        <w:t>9</w:t>
      </w:r>
      <w:r w:rsidRPr="00B6538E">
        <w:rPr>
          <w:b/>
          <w:lang w:val="fo-FO"/>
        </w:rPr>
        <w:t>.</w:t>
      </w:r>
      <w:r w:rsidRPr="00B6538E">
        <w:rPr>
          <w:lang w:val="fo-FO"/>
        </w:rPr>
        <w:t xml:space="preserve"> Henda kunngerð kemur í gildi dagin eftir, at hon er kunngjørd.</w:t>
      </w:r>
      <w:r w:rsidR="000D63C2">
        <w:rPr>
          <w:lang w:val="fo-FO"/>
        </w:rPr>
        <w:t xml:space="preserve"> Samstundis fer </w:t>
      </w:r>
      <w:r w:rsidR="00465A42">
        <w:rPr>
          <w:lang w:val="fo-FO"/>
        </w:rPr>
        <w:t xml:space="preserve">úr gildi </w:t>
      </w:r>
      <w:proofErr w:type="spellStart"/>
      <w:r w:rsidR="00211EDC">
        <w:rPr>
          <w:lang w:val="fo-FO"/>
        </w:rPr>
        <w:t>bekendtgørelse</w:t>
      </w:r>
      <w:proofErr w:type="spellEnd"/>
      <w:r w:rsidR="00211EDC">
        <w:rPr>
          <w:lang w:val="fo-FO"/>
        </w:rPr>
        <w:t xml:space="preserve"> nr</w:t>
      </w:r>
      <w:r w:rsidR="00D65CEE">
        <w:rPr>
          <w:lang w:val="fo-FO"/>
        </w:rPr>
        <w:t>.</w:t>
      </w:r>
      <w:r w:rsidR="00211EDC">
        <w:rPr>
          <w:lang w:val="fo-FO"/>
        </w:rPr>
        <w:t xml:space="preserve"> 229 </w:t>
      </w:r>
      <w:proofErr w:type="spellStart"/>
      <w:r w:rsidR="00211EDC">
        <w:rPr>
          <w:lang w:val="fo-FO"/>
        </w:rPr>
        <w:t>af</w:t>
      </w:r>
      <w:proofErr w:type="spellEnd"/>
      <w:r w:rsidR="00211EDC">
        <w:rPr>
          <w:lang w:val="fo-FO"/>
        </w:rPr>
        <w:t xml:space="preserve"> 4. </w:t>
      </w:r>
      <w:proofErr w:type="spellStart"/>
      <w:r w:rsidR="00D65CEE">
        <w:rPr>
          <w:lang w:val="fo-FO"/>
        </w:rPr>
        <w:t>a</w:t>
      </w:r>
      <w:r w:rsidR="00211EDC">
        <w:rPr>
          <w:lang w:val="fo-FO"/>
        </w:rPr>
        <w:t>pril</w:t>
      </w:r>
      <w:proofErr w:type="spellEnd"/>
      <w:r w:rsidR="00211EDC">
        <w:rPr>
          <w:lang w:val="fo-FO"/>
        </w:rPr>
        <w:t xml:space="preserve"> 1989 </w:t>
      </w:r>
      <w:proofErr w:type="spellStart"/>
      <w:r w:rsidR="00211EDC">
        <w:rPr>
          <w:lang w:val="fo-FO"/>
        </w:rPr>
        <w:t>om</w:t>
      </w:r>
      <w:proofErr w:type="spellEnd"/>
      <w:r w:rsidR="00211EDC">
        <w:rPr>
          <w:lang w:val="fo-FO"/>
        </w:rPr>
        <w:t xml:space="preserve"> </w:t>
      </w:r>
      <w:proofErr w:type="spellStart"/>
      <w:r w:rsidR="00211EDC">
        <w:rPr>
          <w:lang w:val="fo-FO"/>
        </w:rPr>
        <w:t>afm</w:t>
      </w:r>
      <w:r w:rsidR="00D65CEE">
        <w:rPr>
          <w:lang w:val="fo-FO"/>
        </w:rPr>
        <w:t>ærkning</w:t>
      </w:r>
      <w:proofErr w:type="spellEnd"/>
      <w:r w:rsidR="00D65CEE">
        <w:rPr>
          <w:lang w:val="fo-FO"/>
        </w:rPr>
        <w:t xml:space="preserve"> </w:t>
      </w:r>
      <w:proofErr w:type="spellStart"/>
      <w:r w:rsidR="00D65CEE">
        <w:rPr>
          <w:lang w:val="fo-FO"/>
        </w:rPr>
        <w:t>m.v</w:t>
      </w:r>
      <w:proofErr w:type="spellEnd"/>
      <w:r w:rsidR="00D65CEE">
        <w:rPr>
          <w:lang w:val="fo-FO"/>
        </w:rPr>
        <w:t xml:space="preserve">. i </w:t>
      </w:r>
      <w:proofErr w:type="spellStart"/>
      <w:r w:rsidR="00D65CEE">
        <w:rPr>
          <w:lang w:val="fo-FO"/>
        </w:rPr>
        <w:t>dansk</w:t>
      </w:r>
      <w:proofErr w:type="spellEnd"/>
      <w:r w:rsidR="00D65CEE">
        <w:rPr>
          <w:lang w:val="fo-FO"/>
        </w:rPr>
        <w:t xml:space="preserve"> </w:t>
      </w:r>
      <w:proofErr w:type="spellStart"/>
      <w:r w:rsidR="00D65CEE">
        <w:rPr>
          <w:lang w:val="fo-FO"/>
        </w:rPr>
        <w:t>afmærkningsområde</w:t>
      </w:r>
      <w:proofErr w:type="spellEnd"/>
      <w:r w:rsidR="00D65CEE">
        <w:rPr>
          <w:lang w:val="fo-FO"/>
        </w:rPr>
        <w:t>.</w:t>
      </w:r>
    </w:p>
    <w:p w14:paraId="6BA70964" w14:textId="77777777" w:rsidR="00895D86" w:rsidRPr="00B6538E" w:rsidRDefault="00895D86" w:rsidP="00895D86">
      <w:pPr>
        <w:rPr>
          <w:rFonts w:cs="Times New Roman"/>
          <w:szCs w:val="24"/>
          <w:lang w:val="fo-FO"/>
        </w:rPr>
      </w:pPr>
    </w:p>
    <w:p w14:paraId="02203E50" w14:textId="77777777" w:rsidR="00895D86" w:rsidRPr="00B6538E" w:rsidRDefault="00895D86" w:rsidP="00895D86">
      <w:pPr>
        <w:jc w:val="center"/>
        <w:rPr>
          <w:rFonts w:cs="Times New Roman"/>
          <w:szCs w:val="24"/>
          <w:lang w:val="fo-FO"/>
        </w:rPr>
        <w:sectPr w:rsidR="00895D86" w:rsidRPr="00B6538E" w:rsidSect="00102AEF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2A0335A4" w14:textId="77777777" w:rsidR="00895D86" w:rsidRPr="00B6538E" w:rsidRDefault="00895D86" w:rsidP="00895D86">
      <w:pPr>
        <w:jc w:val="center"/>
        <w:rPr>
          <w:rFonts w:cs="Times New Roman"/>
          <w:szCs w:val="24"/>
          <w:lang w:val="fo-FO"/>
        </w:rPr>
      </w:pPr>
    </w:p>
    <w:p w14:paraId="582D9F5C" w14:textId="77777777" w:rsidR="00895D86" w:rsidRPr="00B6538E" w:rsidRDefault="00895D86" w:rsidP="00895D86">
      <w:pPr>
        <w:jc w:val="center"/>
        <w:rPr>
          <w:rFonts w:cs="Times New Roman"/>
          <w:szCs w:val="24"/>
          <w:lang w:val="fo-FO"/>
        </w:rPr>
      </w:pPr>
    </w:p>
    <w:p w14:paraId="6947618A" w14:textId="7B4AF3E8" w:rsidR="00895D86" w:rsidRPr="00B6538E" w:rsidRDefault="00585DDD" w:rsidP="00895D86">
      <w:pPr>
        <w:jc w:val="center"/>
        <w:rPr>
          <w:rFonts w:cs="Times New Roman"/>
          <w:szCs w:val="24"/>
          <w:lang w:val="fo-FO"/>
        </w:rPr>
      </w:pPr>
      <w:r w:rsidRPr="00B6538E">
        <w:rPr>
          <w:rFonts w:cs="Times New Roman"/>
          <w:szCs w:val="24"/>
          <w:lang w:val="fo-FO"/>
        </w:rPr>
        <w:t>Uttanríkis- og vinnumálaráðið</w:t>
      </w:r>
      <w:r w:rsidR="00895D86" w:rsidRPr="00B6538E">
        <w:rPr>
          <w:rFonts w:cs="Times New Roman"/>
          <w:szCs w:val="24"/>
          <w:lang w:val="fo-FO"/>
        </w:rPr>
        <w:t xml:space="preserve">, </w:t>
      </w:r>
      <w:r w:rsidR="00EE03CE">
        <w:rPr>
          <w:rFonts w:cs="Times New Roman"/>
          <w:szCs w:val="24"/>
          <w:lang w:val="fo-FO"/>
        </w:rPr>
        <w:t>8</w:t>
      </w:r>
      <w:r w:rsidR="001922BA" w:rsidRPr="00B6538E">
        <w:rPr>
          <w:rFonts w:cs="Times New Roman"/>
          <w:szCs w:val="24"/>
          <w:lang w:val="fo-FO"/>
        </w:rPr>
        <w:t xml:space="preserve">. </w:t>
      </w:r>
      <w:r w:rsidR="00FE125C">
        <w:rPr>
          <w:rFonts w:cs="Times New Roman"/>
          <w:szCs w:val="24"/>
          <w:lang w:val="fo-FO"/>
        </w:rPr>
        <w:t>mai 2024</w:t>
      </w:r>
    </w:p>
    <w:p w14:paraId="7275D228" w14:textId="77777777" w:rsidR="00895D86" w:rsidRPr="00B6538E" w:rsidRDefault="00895D86" w:rsidP="00895D86">
      <w:pPr>
        <w:jc w:val="center"/>
        <w:rPr>
          <w:rFonts w:cs="Times New Roman"/>
          <w:szCs w:val="24"/>
          <w:lang w:val="fo-FO"/>
        </w:rPr>
      </w:pPr>
    </w:p>
    <w:p w14:paraId="2D0C3F5E" w14:textId="77777777" w:rsidR="00895D86" w:rsidRPr="00B6538E" w:rsidRDefault="00895D86" w:rsidP="00895D86">
      <w:pPr>
        <w:jc w:val="center"/>
        <w:rPr>
          <w:rFonts w:cs="Times New Roman"/>
          <w:szCs w:val="24"/>
          <w:lang w:val="fo-FO"/>
        </w:rPr>
      </w:pPr>
    </w:p>
    <w:p w14:paraId="49E7D649" w14:textId="48FC6EE6" w:rsidR="00895D86" w:rsidRPr="00B6538E" w:rsidRDefault="001922BA" w:rsidP="00895D86">
      <w:pPr>
        <w:jc w:val="center"/>
        <w:rPr>
          <w:rFonts w:cs="Times New Roman"/>
          <w:b/>
          <w:szCs w:val="24"/>
          <w:lang w:val="fo-FO"/>
        </w:rPr>
      </w:pPr>
      <w:r w:rsidRPr="00B6538E">
        <w:rPr>
          <w:rFonts w:cs="Times New Roman"/>
          <w:b/>
          <w:szCs w:val="24"/>
          <w:lang w:val="fo-FO"/>
        </w:rPr>
        <w:t>Høgni Hoydal</w:t>
      </w:r>
    </w:p>
    <w:p w14:paraId="5E147FE4" w14:textId="77777777" w:rsidR="00895D86" w:rsidRPr="00B6538E" w:rsidRDefault="00895D86" w:rsidP="00895D86">
      <w:pPr>
        <w:jc w:val="center"/>
        <w:rPr>
          <w:rFonts w:cs="Times New Roman"/>
          <w:szCs w:val="24"/>
          <w:lang w:val="fo-FO"/>
        </w:rPr>
      </w:pPr>
      <w:r w:rsidRPr="00B6538E">
        <w:rPr>
          <w:rFonts w:cs="Times New Roman"/>
          <w:szCs w:val="24"/>
          <w:lang w:val="fo-FO"/>
        </w:rPr>
        <w:t>landsstýrismaður</w:t>
      </w:r>
    </w:p>
    <w:p w14:paraId="537B31B5" w14:textId="77777777" w:rsidR="00895D86" w:rsidRPr="00B6538E" w:rsidRDefault="00895D86" w:rsidP="00895D86">
      <w:pPr>
        <w:jc w:val="right"/>
        <w:rPr>
          <w:rFonts w:cs="Times New Roman"/>
          <w:szCs w:val="24"/>
          <w:lang w:val="fo-FO"/>
        </w:rPr>
      </w:pPr>
    </w:p>
    <w:p w14:paraId="382ECB77" w14:textId="77777777" w:rsidR="00895D86" w:rsidRPr="00B6538E" w:rsidRDefault="00895D86" w:rsidP="00895D86">
      <w:pPr>
        <w:jc w:val="right"/>
        <w:rPr>
          <w:rFonts w:cs="Times New Roman"/>
          <w:szCs w:val="24"/>
          <w:lang w:val="fo-FO"/>
        </w:rPr>
      </w:pPr>
    </w:p>
    <w:p w14:paraId="465FF81B" w14:textId="7B7B13E3" w:rsidR="00081C11" w:rsidRPr="00B6538E" w:rsidRDefault="00895D86" w:rsidP="00DF6469">
      <w:pPr>
        <w:jc w:val="right"/>
        <w:rPr>
          <w:rFonts w:cs="Times New Roman"/>
          <w:szCs w:val="24"/>
          <w:lang w:val="fo-FO"/>
        </w:rPr>
      </w:pPr>
      <w:r w:rsidRPr="00B6538E">
        <w:rPr>
          <w:rFonts w:cs="Times New Roman"/>
          <w:szCs w:val="24"/>
          <w:lang w:val="fo-FO"/>
        </w:rPr>
        <w:t xml:space="preserve">/ </w:t>
      </w:r>
      <w:r w:rsidR="001922BA" w:rsidRPr="00B6538E">
        <w:rPr>
          <w:rFonts w:cs="Times New Roman"/>
          <w:szCs w:val="24"/>
          <w:lang w:val="fo-FO"/>
        </w:rPr>
        <w:t>Herálvur Joensen</w:t>
      </w:r>
    </w:p>
    <w:sectPr w:rsidR="00081C11" w:rsidRPr="00B6538E" w:rsidSect="00102AEF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73207"/>
    <w:multiLevelType w:val="hybridMultilevel"/>
    <w:tmpl w:val="143A43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2421B"/>
    <w:multiLevelType w:val="hybridMultilevel"/>
    <w:tmpl w:val="4D7E637E"/>
    <w:lvl w:ilvl="0" w:tplc="53347890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1" w:tplc="9B966068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2" w:tplc="ED2EA5BA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3" w:tplc="614E46DE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4" w:tplc="38DA6344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5" w:tplc="C0AACD38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6" w:tplc="9B106148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7" w:tplc="954643FC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8" w:tplc="7A42A5D0">
      <w:start w:val="1"/>
      <w:numFmt w:val="bullet"/>
      <w:lvlText w:val=""/>
      <w:lvlJc w:val="left"/>
      <w:pPr>
        <w:ind w:left="1780" w:hanging="360"/>
      </w:pPr>
      <w:rPr>
        <w:rFonts w:ascii="Symbol" w:hAnsi="Symbol"/>
      </w:rPr>
    </w:lvl>
  </w:abstractNum>
  <w:abstractNum w:abstractNumId="2" w15:restartNumberingAfterBreak="0">
    <w:nsid w:val="22C17DFC"/>
    <w:multiLevelType w:val="hybridMultilevel"/>
    <w:tmpl w:val="AFB8B824"/>
    <w:lvl w:ilvl="0" w:tplc="361E70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44E08"/>
    <w:multiLevelType w:val="hybridMultilevel"/>
    <w:tmpl w:val="348E9506"/>
    <w:lvl w:ilvl="0" w:tplc="FBF8FD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46E86"/>
    <w:multiLevelType w:val="hybridMultilevel"/>
    <w:tmpl w:val="1A70A4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987826">
    <w:abstractNumId w:val="1"/>
  </w:num>
  <w:num w:numId="2" w16cid:durableId="676543742">
    <w:abstractNumId w:val="4"/>
  </w:num>
  <w:num w:numId="3" w16cid:durableId="1892038209">
    <w:abstractNumId w:val="0"/>
  </w:num>
  <w:num w:numId="4" w16cid:durableId="1333684147">
    <w:abstractNumId w:val="2"/>
  </w:num>
  <w:num w:numId="5" w16cid:durableId="775830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9B"/>
    <w:rsid w:val="0001130B"/>
    <w:rsid w:val="00012E54"/>
    <w:rsid w:val="00013A63"/>
    <w:rsid w:val="000144C9"/>
    <w:rsid w:val="00026249"/>
    <w:rsid w:val="00034DAC"/>
    <w:rsid w:val="000532B3"/>
    <w:rsid w:val="0005677D"/>
    <w:rsid w:val="0007295E"/>
    <w:rsid w:val="0007409B"/>
    <w:rsid w:val="0007505D"/>
    <w:rsid w:val="000802D3"/>
    <w:rsid w:val="00081C11"/>
    <w:rsid w:val="000820A8"/>
    <w:rsid w:val="000827DE"/>
    <w:rsid w:val="00086E89"/>
    <w:rsid w:val="0009227C"/>
    <w:rsid w:val="000A1545"/>
    <w:rsid w:val="000C06AC"/>
    <w:rsid w:val="000C6E61"/>
    <w:rsid w:val="000C7CD1"/>
    <w:rsid w:val="000D13E2"/>
    <w:rsid w:val="000D63C2"/>
    <w:rsid w:val="000E0E78"/>
    <w:rsid w:val="000E4438"/>
    <w:rsid w:val="000E53F6"/>
    <w:rsid w:val="000E7253"/>
    <w:rsid w:val="0010035B"/>
    <w:rsid w:val="00102AEF"/>
    <w:rsid w:val="0010623E"/>
    <w:rsid w:val="00106336"/>
    <w:rsid w:val="0012697E"/>
    <w:rsid w:val="00130234"/>
    <w:rsid w:val="00132BB5"/>
    <w:rsid w:val="00134D0D"/>
    <w:rsid w:val="00135E6E"/>
    <w:rsid w:val="0014060C"/>
    <w:rsid w:val="001555EA"/>
    <w:rsid w:val="00164BF2"/>
    <w:rsid w:val="001658B9"/>
    <w:rsid w:val="00170FD0"/>
    <w:rsid w:val="00173350"/>
    <w:rsid w:val="00180207"/>
    <w:rsid w:val="001922BA"/>
    <w:rsid w:val="001A0F0A"/>
    <w:rsid w:val="001A38E6"/>
    <w:rsid w:val="001A414D"/>
    <w:rsid w:val="001A4FB4"/>
    <w:rsid w:val="001C6A7B"/>
    <w:rsid w:val="001E0563"/>
    <w:rsid w:val="001E69B8"/>
    <w:rsid w:val="001E78A1"/>
    <w:rsid w:val="001F2100"/>
    <w:rsid w:val="00206982"/>
    <w:rsid w:val="0020769A"/>
    <w:rsid w:val="00207E11"/>
    <w:rsid w:val="00211BA7"/>
    <w:rsid w:val="00211EDC"/>
    <w:rsid w:val="002173D7"/>
    <w:rsid w:val="00223683"/>
    <w:rsid w:val="002265B1"/>
    <w:rsid w:val="00233656"/>
    <w:rsid w:val="0024683E"/>
    <w:rsid w:val="00246D17"/>
    <w:rsid w:val="00250722"/>
    <w:rsid w:val="00263E2E"/>
    <w:rsid w:val="00290BF7"/>
    <w:rsid w:val="00292102"/>
    <w:rsid w:val="002A2932"/>
    <w:rsid w:val="002A518C"/>
    <w:rsid w:val="002B034D"/>
    <w:rsid w:val="002C6017"/>
    <w:rsid w:val="002D083B"/>
    <w:rsid w:val="002D0B82"/>
    <w:rsid w:val="002E629D"/>
    <w:rsid w:val="002F29F5"/>
    <w:rsid w:val="00307D65"/>
    <w:rsid w:val="00313EE3"/>
    <w:rsid w:val="00322C82"/>
    <w:rsid w:val="0032372C"/>
    <w:rsid w:val="003265F3"/>
    <w:rsid w:val="0033476B"/>
    <w:rsid w:val="003428A6"/>
    <w:rsid w:val="00345F12"/>
    <w:rsid w:val="003462D5"/>
    <w:rsid w:val="003515CA"/>
    <w:rsid w:val="003650B6"/>
    <w:rsid w:val="00367A43"/>
    <w:rsid w:val="00372EED"/>
    <w:rsid w:val="0038590A"/>
    <w:rsid w:val="00385AC5"/>
    <w:rsid w:val="00391126"/>
    <w:rsid w:val="00393223"/>
    <w:rsid w:val="003B354D"/>
    <w:rsid w:val="003B4A69"/>
    <w:rsid w:val="003C21E0"/>
    <w:rsid w:val="003D5F4A"/>
    <w:rsid w:val="003E386C"/>
    <w:rsid w:val="003E612C"/>
    <w:rsid w:val="003F2891"/>
    <w:rsid w:val="0040740C"/>
    <w:rsid w:val="0041005B"/>
    <w:rsid w:val="004350AC"/>
    <w:rsid w:val="00435B8F"/>
    <w:rsid w:val="004377C1"/>
    <w:rsid w:val="004444F7"/>
    <w:rsid w:val="00454610"/>
    <w:rsid w:val="004574C2"/>
    <w:rsid w:val="00463472"/>
    <w:rsid w:val="00465A42"/>
    <w:rsid w:val="004A024C"/>
    <w:rsid w:val="004B1CB0"/>
    <w:rsid w:val="004B3B1F"/>
    <w:rsid w:val="004B51C9"/>
    <w:rsid w:val="004C1726"/>
    <w:rsid w:val="004C46CE"/>
    <w:rsid w:val="004C4705"/>
    <w:rsid w:val="004E736B"/>
    <w:rsid w:val="004F0B1E"/>
    <w:rsid w:val="00527F70"/>
    <w:rsid w:val="00536F2B"/>
    <w:rsid w:val="00542C85"/>
    <w:rsid w:val="00543B90"/>
    <w:rsid w:val="005675DF"/>
    <w:rsid w:val="00567FA4"/>
    <w:rsid w:val="00585DDD"/>
    <w:rsid w:val="005A115B"/>
    <w:rsid w:val="005C38B2"/>
    <w:rsid w:val="005C3F1E"/>
    <w:rsid w:val="005C61DB"/>
    <w:rsid w:val="005E302E"/>
    <w:rsid w:val="005E4816"/>
    <w:rsid w:val="00603311"/>
    <w:rsid w:val="00603AA4"/>
    <w:rsid w:val="00622955"/>
    <w:rsid w:val="00641E2E"/>
    <w:rsid w:val="00651E28"/>
    <w:rsid w:val="0065339E"/>
    <w:rsid w:val="006553F6"/>
    <w:rsid w:val="00657542"/>
    <w:rsid w:val="00666543"/>
    <w:rsid w:val="00690356"/>
    <w:rsid w:val="00695397"/>
    <w:rsid w:val="006953D2"/>
    <w:rsid w:val="0069599C"/>
    <w:rsid w:val="006C22F7"/>
    <w:rsid w:val="006D49AF"/>
    <w:rsid w:val="006F641E"/>
    <w:rsid w:val="00707546"/>
    <w:rsid w:val="007146C3"/>
    <w:rsid w:val="00716693"/>
    <w:rsid w:val="0072530C"/>
    <w:rsid w:val="00762BB5"/>
    <w:rsid w:val="00774B74"/>
    <w:rsid w:val="00775194"/>
    <w:rsid w:val="007813C8"/>
    <w:rsid w:val="00782E82"/>
    <w:rsid w:val="00791C95"/>
    <w:rsid w:val="00794169"/>
    <w:rsid w:val="00795351"/>
    <w:rsid w:val="007A0AE4"/>
    <w:rsid w:val="007A100E"/>
    <w:rsid w:val="007A79B7"/>
    <w:rsid w:val="007B2439"/>
    <w:rsid w:val="007B37CB"/>
    <w:rsid w:val="007B51A5"/>
    <w:rsid w:val="007B55EF"/>
    <w:rsid w:val="007C7D72"/>
    <w:rsid w:val="007D137F"/>
    <w:rsid w:val="007F5AD6"/>
    <w:rsid w:val="00821145"/>
    <w:rsid w:val="008244D9"/>
    <w:rsid w:val="00827747"/>
    <w:rsid w:val="008428EF"/>
    <w:rsid w:val="00853131"/>
    <w:rsid w:val="00854219"/>
    <w:rsid w:val="00860816"/>
    <w:rsid w:val="0086159B"/>
    <w:rsid w:val="008716E6"/>
    <w:rsid w:val="00876459"/>
    <w:rsid w:val="00881EF9"/>
    <w:rsid w:val="00891B2A"/>
    <w:rsid w:val="00891F75"/>
    <w:rsid w:val="00895D86"/>
    <w:rsid w:val="00896A25"/>
    <w:rsid w:val="008A7BBA"/>
    <w:rsid w:val="008B1E8C"/>
    <w:rsid w:val="008B35ED"/>
    <w:rsid w:val="008B48FC"/>
    <w:rsid w:val="008B6A2D"/>
    <w:rsid w:val="008C24F4"/>
    <w:rsid w:val="008E01AB"/>
    <w:rsid w:val="008E271B"/>
    <w:rsid w:val="008F086C"/>
    <w:rsid w:val="00906332"/>
    <w:rsid w:val="00911636"/>
    <w:rsid w:val="00930119"/>
    <w:rsid w:val="00930FF8"/>
    <w:rsid w:val="0094022E"/>
    <w:rsid w:val="009420C6"/>
    <w:rsid w:val="009449C6"/>
    <w:rsid w:val="009451D6"/>
    <w:rsid w:val="00951785"/>
    <w:rsid w:val="00955094"/>
    <w:rsid w:val="009615B1"/>
    <w:rsid w:val="009827DC"/>
    <w:rsid w:val="00987539"/>
    <w:rsid w:val="00987C68"/>
    <w:rsid w:val="00994EC3"/>
    <w:rsid w:val="009A047A"/>
    <w:rsid w:val="009A1CFD"/>
    <w:rsid w:val="009A7966"/>
    <w:rsid w:val="009B6C02"/>
    <w:rsid w:val="009C0ECC"/>
    <w:rsid w:val="009C5BC4"/>
    <w:rsid w:val="009D693A"/>
    <w:rsid w:val="009D75A9"/>
    <w:rsid w:val="009E0B76"/>
    <w:rsid w:val="009E25D8"/>
    <w:rsid w:val="009F1BEF"/>
    <w:rsid w:val="00A246AD"/>
    <w:rsid w:val="00A26A4B"/>
    <w:rsid w:val="00A35E8F"/>
    <w:rsid w:val="00A460F9"/>
    <w:rsid w:val="00A522C4"/>
    <w:rsid w:val="00A6508F"/>
    <w:rsid w:val="00A71E47"/>
    <w:rsid w:val="00A72CAA"/>
    <w:rsid w:val="00A74E25"/>
    <w:rsid w:val="00A77B84"/>
    <w:rsid w:val="00A77C7E"/>
    <w:rsid w:val="00A802A3"/>
    <w:rsid w:val="00AA51B6"/>
    <w:rsid w:val="00AB614F"/>
    <w:rsid w:val="00AC13DC"/>
    <w:rsid w:val="00AC5FA2"/>
    <w:rsid w:val="00AF3841"/>
    <w:rsid w:val="00AF589B"/>
    <w:rsid w:val="00B041BD"/>
    <w:rsid w:val="00B2003C"/>
    <w:rsid w:val="00B348C0"/>
    <w:rsid w:val="00B36280"/>
    <w:rsid w:val="00B364E9"/>
    <w:rsid w:val="00B402E3"/>
    <w:rsid w:val="00B503C2"/>
    <w:rsid w:val="00B52800"/>
    <w:rsid w:val="00B53977"/>
    <w:rsid w:val="00B6538E"/>
    <w:rsid w:val="00B832D5"/>
    <w:rsid w:val="00BA50EE"/>
    <w:rsid w:val="00BD0167"/>
    <w:rsid w:val="00BE3AF0"/>
    <w:rsid w:val="00BF3A0F"/>
    <w:rsid w:val="00BF5B1B"/>
    <w:rsid w:val="00C0313D"/>
    <w:rsid w:val="00C14BBB"/>
    <w:rsid w:val="00C33C42"/>
    <w:rsid w:val="00C436BC"/>
    <w:rsid w:val="00C444E2"/>
    <w:rsid w:val="00C45B12"/>
    <w:rsid w:val="00C47DAB"/>
    <w:rsid w:val="00C623DA"/>
    <w:rsid w:val="00C6446D"/>
    <w:rsid w:val="00C7596C"/>
    <w:rsid w:val="00C85CFD"/>
    <w:rsid w:val="00C95896"/>
    <w:rsid w:val="00C96272"/>
    <w:rsid w:val="00C97586"/>
    <w:rsid w:val="00C97F40"/>
    <w:rsid w:val="00CC0C15"/>
    <w:rsid w:val="00CC2EE1"/>
    <w:rsid w:val="00CC3DD4"/>
    <w:rsid w:val="00CC4257"/>
    <w:rsid w:val="00CD0B7B"/>
    <w:rsid w:val="00CD130F"/>
    <w:rsid w:val="00CD5058"/>
    <w:rsid w:val="00CE21D8"/>
    <w:rsid w:val="00CE279D"/>
    <w:rsid w:val="00CE3514"/>
    <w:rsid w:val="00CE4FD0"/>
    <w:rsid w:val="00D00F71"/>
    <w:rsid w:val="00D11CC3"/>
    <w:rsid w:val="00D32BB9"/>
    <w:rsid w:val="00D33363"/>
    <w:rsid w:val="00D35C65"/>
    <w:rsid w:val="00D36AC4"/>
    <w:rsid w:val="00D459E6"/>
    <w:rsid w:val="00D55382"/>
    <w:rsid w:val="00D64494"/>
    <w:rsid w:val="00D64B29"/>
    <w:rsid w:val="00D65CEE"/>
    <w:rsid w:val="00D77C96"/>
    <w:rsid w:val="00D8150B"/>
    <w:rsid w:val="00D835E7"/>
    <w:rsid w:val="00D83E5F"/>
    <w:rsid w:val="00DB3FCA"/>
    <w:rsid w:val="00DB7CE6"/>
    <w:rsid w:val="00DC1FB6"/>
    <w:rsid w:val="00DC27BE"/>
    <w:rsid w:val="00DC2F5F"/>
    <w:rsid w:val="00DD6714"/>
    <w:rsid w:val="00DE2491"/>
    <w:rsid w:val="00DE29BE"/>
    <w:rsid w:val="00DE3F08"/>
    <w:rsid w:val="00DE4410"/>
    <w:rsid w:val="00DE79F8"/>
    <w:rsid w:val="00DF1C11"/>
    <w:rsid w:val="00DF4F09"/>
    <w:rsid w:val="00DF6469"/>
    <w:rsid w:val="00E05CEE"/>
    <w:rsid w:val="00E1461D"/>
    <w:rsid w:val="00E32E4D"/>
    <w:rsid w:val="00E337E6"/>
    <w:rsid w:val="00E41FC7"/>
    <w:rsid w:val="00E46268"/>
    <w:rsid w:val="00E63FA8"/>
    <w:rsid w:val="00E77349"/>
    <w:rsid w:val="00EA1602"/>
    <w:rsid w:val="00EB5E3F"/>
    <w:rsid w:val="00EB7C5E"/>
    <w:rsid w:val="00EC2223"/>
    <w:rsid w:val="00ED627F"/>
    <w:rsid w:val="00EE03CC"/>
    <w:rsid w:val="00EE03CE"/>
    <w:rsid w:val="00EE3DC7"/>
    <w:rsid w:val="00EE4A52"/>
    <w:rsid w:val="00F024CF"/>
    <w:rsid w:val="00F03F53"/>
    <w:rsid w:val="00F069EB"/>
    <w:rsid w:val="00F102A7"/>
    <w:rsid w:val="00F17706"/>
    <w:rsid w:val="00F23B5B"/>
    <w:rsid w:val="00F32A60"/>
    <w:rsid w:val="00F356EE"/>
    <w:rsid w:val="00F37350"/>
    <w:rsid w:val="00F462F9"/>
    <w:rsid w:val="00F84325"/>
    <w:rsid w:val="00F86AFD"/>
    <w:rsid w:val="00F94A09"/>
    <w:rsid w:val="00F959FB"/>
    <w:rsid w:val="00FB2AE8"/>
    <w:rsid w:val="00FB432C"/>
    <w:rsid w:val="00FC5445"/>
    <w:rsid w:val="00FC62B2"/>
    <w:rsid w:val="00FE125C"/>
    <w:rsid w:val="00FE48C8"/>
    <w:rsid w:val="00FF1D5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AD7B9"/>
  <w14:defaultImageDpi w14:val="330"/>
  <w15:chartTrackingRefBased/>
  <w15:docId w15:val="{F40AF2A5-2DBA-4DB2-B75D-3DBC7D61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D8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</w:pPr>
    <w:rPr>
      <w:rFonts w:eastAsia="Times New Roman" w:cs="Times New Roman"/>
      <w:szCs w:val="24"/>
    </w:rPr>
  </w:style>
  <w:style w:type="paragraph" w:customStyle="1" w:styleId="Stk">
    <w:name w:val="Stk"/>
    <w:basedOn w:val="Normal"/>
    <w:rsid w:val="00AF589B"/>
    <w:pPr>
      <w:ind w:firstLine="170"/>
    </w:pPr>
    <w:rPr>
      <w:rFonts w:eastAsia="Times New Roman" w:cs="Times New Roman"/>
      <w:szCs w:val="24"/>
    </w:rPr>
  </w:style>
  <w:style w:type="paragraph" w:customStyle="1" w:styleId="Paragraftekst">
    <w:name w:val="Paragraftekst"/>
    <w:basedOn w:val="Normal"/>
    <w:next w:val="Normal"/>
    <w:rsid w:val="00AF589B"/>
    <w:pPr>
      <w:spacing w:before="240"/>
      <w:ind w:firstLine="170"/>
    </w:pPr>
    <w:rPr>
      <w:rFonts w:eastAsia="Times New Roman" w:cs="Times New Roman"/>
      <w:szCs w:val="24"/>
    </w:rPr>
  </w:style>
  <w:style w:type="character" w:customStyle="1" w:styleId="TypografiFed">
    <w:name w:val="Typografi Fed"/>
    <w:basedOn w:val="DefaultParagraphFont"/>
    <w:rsid w:val="00895D86"/>
    <w:rPr>
      <w:rFonts w:ascii="Times New Roman" w:hAnsi="Times New Roman" w:cs="Times New Roman" w:hint="default"/>
      <w:b/>
      <w:bCs/>
      <w:sz w:val="24"/>
    </w:rPr>
  </w:style>
  <w:style w:type="character" w:customStyle="1" w:styleId="TypografiKursiv">
    <w:name w:val="Typografi Kursiv"/>
    <w:basedOn w:val="DefaultParagraphFont"/>
    <w:rsid w:val="00895D86"/>
    <w:rPr>
      <w:rFonts w:ascii="Times New Roman" w:hAnsi="Times New Roman" w:cs="Times New Roman" w:hint="default"/>
      <w:i/>
      <w:iCs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4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B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53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3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372C"/>
    <w:pPr>
      <w:ind w:left="720"/>
      <w:contextualSpacing/>
    </w:pPr>
  </w:style>
  <w:style w:type="paragraph" w:styleId="Revision">
    <w:name w:val="Revision"/>
    <w:hidden/>
    <w:uiPriority w:val="99"/>
    <w:semiHidden/>
    <w:rsid w:val="007A7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0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60612\Downloads\uppskot-til-kunnger&#240;%20(1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uppskot-til-kunngerð (1)</Template>
  <TotalTime>1419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Uppskot til kunngerð</vt:lpstr>
      <vt:lpstr>Uppskot til kunngerð</vt:lpstr>
    </vt:vector>
  </TitlesOfParts>
  <Company>Lógartænastan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kunngerð</dc:title>
  <dc:subject>Uppskot til kunngerð</dc:subject>
  <dc:creator>Unn Augustudóttir Krákustein</dc:creator>
  <cp:keywords>5. útgáva - desember 2020</cp:keywords>
  <dc:description>Uppskot til kunngerð 5. útgáva - desember 2020</dc:description>
  <cp:lastModifiedBy>Unn Augustudóttir Krákustein</cp:lastModifiedBy>
  <cp:revision>158</cp:revision>
  <dcterms:created xsi:type="dcterms:W3CDTF">2024-05-03T14:46:00Z</dcterms:created>
  <dcterms:modified xsi:type="dcterms:W3CDTF">2024-05-08T10:15:00Z</dcterms:modified>
</cp:coreProperties>
</file>