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1FBF6" w14:textId="356B8396" w:rsidR="00EC3371" w:rsidRPr="00D5345C" w:rsidRDefault="00EC3371" w:rsidP="009F1A54">
      <w:pPr>
        <w:jc w:val="center"/>
        <w:rPr>
          <w:rStyle w:val="TypografiFed"/>
          <w:bCs w:val="0"/>
          <w:sz w:val="32"/>
          <w:szCs w:val="32"/>
          <w:lang w:val="fo-FO"/>
        </w:rPr>
      </w:pPr>
      <w:r w:rsidRPr="00D5345C">
        <w:rPr>
          <w:b/>
          <w:noProof/>
          <w:sz w:val="32"/>
          <w:szCs w:val="32"/>
          <w:lang w:val="fo-FO" w:eastAsia="fo-FO"/>
        </w:rPr>
        <w:drawing>
          <wp:anchor distT="0" distB="0" distL="114300" distR="114300" simplePos="0" relativeHeight="251659264" behindDoc="0" locked="0" layoutInCell="1" allowOverlap="1" wp14:anchorId="74DEF9E7" wp14:editId="2925FF7E">
            <wp:simplePos x="0" y="0"/>
            <wp:positionH relativeFrom="column">
              <wp:posOffset>2600325</wp:posOffset>
            </wp:positionH>
            <wp:positionV relativeFrom="paragraph">
              <wp:posOffset>0</wp:posOffset>
            </wp:positionV>
            <wp:extent cx="619125" cy="660400"/>
            <wp:effectExtent l="0" t="0" r="9525" b="6350"/>
            <wp:wrapTopAndBottom/>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drur.jpg"/>
                    <pic:cNvPicPr/>
                  </pic:nvPicPr>
                  <pic:blipFill>
                    <a:blip r:embed="rId8">
                      <a:extLst>
                        <a:ext uri="{28A0092B-C50C-407E-A947-70E740481C1C}">
                          <a14:useLocalDpi xmlns:a14="http://schemas.microsoft.com/office/drawing/2010/main" val="0"/>
                        </a:ext>
                      </a:extLst>
                    </a:blip>
                    <a:stretch>
                      <a:fillRect/>
                    </a:stretch>
                  </pic:blipFill>
                  <pic:spPr>
                    <a:xfrm>
                      <a:off x="0" y="0"/>
                      <a:ext cx="619125" cy="660400"/>
                    </a:xfrm>
                    <a:prstGeom prst="rect">
                      <a:avLst/>
                    </a:prstGeom>
                  </pic:spPr>
                </pic:pic>
              </a:graphicData>
            </a:graphic>
            <wp14:sizeRelH relativeFrom="margin">
              <wp14:pctWidth>0</wp14:pctWidth>
            </wp14:sizeRelH>
            <wp14:sizeRelV relativeFrom="margin">
              <wp14:pctHeight>0</wp14:pctHeight>
            </wp14:sizeRelV>
          </wp:anchor>
        </w:drawing>
      </w:r>
      <w:r w:rsidR="00D5345C" w:rsidRPr="00D5345C">
        <w:rPr>
          <w:b/>
          <w:sz w:val="32"/>
          <w:szCs w:val="32"/>
          <w:lang w:val="fo-FO"/>
        </w:rPr>
        <w:t>Uttanríkis- og vinnumálaráðið</w:t>
      </w:r>
    </w:p>
    <w:p w14:paraId="325BFB30" w14:textId="77777777" w:rsidR="00EC3371" w:rsidRPr="00D5345C" w:rsidRDefault="00EC3371" w:rsidP="00EC3371">
      <w:pPr>
        <w:spacing w:after="0"/>
        <w:rPr>
          <w:rStyle w:val="TypografiFed"/>
          <w:b w:val="0"/>
          <w:lang w:val="fo-FO"/>
        </w:rPr>
      </w:pPr>
    </w:p>
    <w:p w14:paraId="0DC02CB8" w14:textId="77777777" w:rsidR="004D5A6C" w:rsidRPr="00D5345C" w:rsidRDefault="004D5A6C" w:rsidP="004D5A6C">
      <w:pPr>
        <w:spacing w:after="0"/>
        <w:rPr>
          <w:lang w:val="fo-FO"/>
        </w:rPr>
      </w:pPr>
    </w:p>
    <w:tbl>
      <w:tblPr>
        <w:tblW w:w="0" w:type="auto"/>
        <w:jc w:val="right"/>
        <w:tblLook w:val="04A0" w:firstRow="1" w:lastRow="0" w:firstColumn="1" w:lastColumn="0" w:noHBand="0" w:noVBand="1"/>
      </w:tblPr>
      <w:tblGrid>
        <w:gridCol w:w="1523"/>
        <w:gridCol w:w="1317"/>
      </w:tblGrid>
      <w:tr w:rsidR="0088651F" w:rsidRPr="00D5345C" w14:paraId="50062249" w14:textId="77777777" w:rsidTr="004D5A6C">
        <w:trPr>
          <w:trHeight w:val="344"/>
          <w:jc w:val="right"/>
        </w:trPr>
        <w:tc>
          <w:tcPr>
            <w:tcW w:w="0" w:type="auto"/>
            <w:hideMark/>
          </w:tcPr>
          <w:p w14:paraId="20803EE0" w14:textId="77777777" w:rsidR="0088651F" w:rsidRPr="00D5345C" w:rsidRDefault="0088651F" w:rsidP="004D5A6C">
            <w:pPr>
              <w:spacing w:after="0" w:line="256" w:lineRule="auto"/>
              <w:rPr>
                <w:szCs w:val="24"/>
                <w:lang w:val="fo-FO" w:eastAsia="fo-FO"/>
              </w:rPr>
            </w:pPr>
            <w:r w:rsidRPr="00D5345C">
              <w:rPr>
                <w:szCs w:val="24"/>
                <w:lang w:val="fo-FO"/>
              </w:rPr>
              <w:t>Dagfesting:</w:t>
            </w:r>
            <w:r w:rsidRPr="00D5345C">
              <w:rPr>
                <w:noProof/>
                <w:szCs w:val="24"/>
                <w:lang w:val="fo-FO"/>
              </w:rPr>
              <w:t xml:space="preserve"> </w:t>
            </w:r>
          </w:p>
        </w:tc>
        <w:tc>
          <w:tcPr>
            <w:tcW w:w="0" w:type="auto"/>
            <w:hideMark/>
          </w:tcPr>
          <w:p w14:paraId="72F8DB68" w14:textId="4388DAF5" w:rsidR="0088651F" w:rsidRPr="00D5345C" w:rsidRDefault="000C5396" w:rsidP="004D5A6C">
            <w:pPr>
              <w:tabs>
                <w:tab w:val="center" w:pos="4513"/>
                <w:tab w:val="right" w:pos="9026"/>
              </w:tabs>
              <w:spacing w:after="0" w:line="256" w:lineRule="auto"/>
              <w:rPr>
                <w:szCs w:val="24"/>
                <w:lang w:val="fo-FO"/>
              </w:rPr>
            </w:pPr>
            <w:r>
              <w:rPr>
                <w:szCs w:val="24"/>
                <w:lang w:val="fo-FO"/>
              </w:rPr>
              <w:t>9</w:t>
            </w:r>
            <w:r w:rsidR="00936A5E">
              <w:rPr>
                <w:szCs w:val="24"/>
                <w:lang w:val="fo-FO"/>
              </w:rPr>
              <w:t>.</w:t>
            </w:r>
            <w:r w:rsidR="006B2A1F">
              <w:rPr>
                <w:szCs w:val="24"/>
                <w:lang w:val="fo-FO"/>
              </w:rPr>
              <w:t xml:space="preserve"> ju</w:t>
            </w:r>
            <w:r w:rsidR="00D350FA">
              <w:rPr>
                <w:szCs w:val="24"/>
                <w:lang w:val="fo-FO"/>
              </w:rPr>
              <w:t>l</w:t>
            </w:r>
            <w:r w:rsidR="006B2A1F">
              <w:rPr>
                <w:szCs w:val="24"/>
                <w:lang w:val="fo-FO"/>
              </w:rPr>
              <w:t>i</w:t>
            </w:r>
            <w:r w:rsidR="009560BD" w:rsidRPr="00D5345C">
              <w:rPr>
                <w:szCs w:val="24"/>
                <w:lang w:val="fo-FO"/>
              </w:rPr>
              <w:t xml:space="preserve"> 2024</w:t>
            </w:r>
          </w:p>
        </w:tc>
      </w:tr>
      <w:tr w:rsidR="0088651F" w:rsidRPr="00D5345C" w14:paraId="766FF71C" w14:textId="77777777" w:rsidTr="004D5A6C">
        <w:trPr>
          <w:trHeight w:val="361"/>
          <w:jc w:val="right"/>
        </w:trPr>
        <w:tc>
          <w:tcPr>
            <w:tcW w:w="0" w:type="auto"/>
            <w:hideMark/>
          </w:tcPr>
          <w:p w14:paraId="165E2DF4" w14:textId="77777777" w:rsidR="0088651F" w:rsidRPr="00D5345C" w:rsidRDefault="0088651F" w:rsidP="004D5A6C">
            <w:pPr>
              <w:spacing w:after="0" w:line="256" w:lineRule="auto"/>
              <w:rPr>
                <w:szCs w:val="24"/>
                <w:lang w:val="fo-FO"/>
              </w:rPr>
            </w:pPr>
            <w:r w:rsidRPr="00D5345C">
              <w:rPr>
                <w:szCs w:val="24"/>
                <w:lang w:val="fo-FO"/>
              </w:rPr>
              <w:t>Mál nr.:</w:t>
            </w:r>
          </w:p>
        </w:tc>
        <w:tc>
          <w:tcPr>
            <w:tcW w:w="0" w:type="auto"/>
            <w:hideMark/>
          </w:tcPr>
          <w:p w14:paraId="36159E8A" w14:textId="77777777" w:rsidR="0088651F" w:rsidRPr="00D5345C" w:rsidRDefault="0088651F" w:rsidP="004D5A6C">
            <w:pPr>
              <w:tabs>
                <w:tab w:val="center" w:pos="4513"/>
                <w:tab w:val="right" w:pos="9026"/>
              </w:tabs>
              <w:spacing w:after="0" w:line="256" w:lineRule="auto"/>
              <w:rPr>
                <w:szCs w:val="24"/>
                <w:lang w:val="fo-FO"/>
              </w:rPr>
            </w:pPr>
            <w:r w:rsidRPr="00D5345C">
              <w:rPr>
                <w:szCs w:val="24"/>
                <w:lang w:val="fo-FO"/>
              </w:rPr>
              <w:t>Skrivið her</w:t>
            </w:r>
          </w:p>
        </w:tc>
      </w:tr>
      <w:tr w:rsidR="0088651F" w:rsidRPr="00D5345C" w14:paraId="7AE0A233" w14:textId="77777777" w:rsidTr="004D5A6C">
        <w:trPr>
          <w:trHeight w:val="344"/>
          <w:jc w:val="right"/>
        </w:trPr>
        <w:tc>
          <w:tcPr>
            <w:tcW w:w="0" w:type="auto"/>
            <w:hideMark/>
          </w:tcPr>
          <w:p w14:paraId="4067EB5A" w14:textId="77777777" w:rsidR="0088651F" w:rsidRPr="00D5345C" w:rsidRDefault="0088651F" w:rsidP="004D5A6C">
            <w:pPr>
              <w:spacing w:after="0" w:line="256" w:lineRule="auto"/>
              <w:rPr>
                <w:szCs w:val="24"/>
                <w:lang w:val="fo-FO"/>
              </w:rPr>
            </w:pPr>
            <w:r w:rsidRPr="00D5345C">
              <w:rPr>
                <w:szCs w:val="24"/>
                <w:lang w:val="fo-FO"/>
              </w:rPr>
              <w:t>Málsviðgjørt:</w:t>
            </w:r>
          </w:p>
        </w:tc>
        <w:tc>
          <w:tcPr>
            <w:tcW w:w="0" w:type="auto"/>
            <w:hideMark/>
          </w:tcPr>
          <w:p w14:paraId="6DBCB109" w14:textId="09620D19" w:rsidR="0088651F" w:rsidRPr="00D5345C" w:rsidRDefault="00D560B8" w:rsidP="004D5A6C">
            <w:pPr>
              <w:tabs>
                <w:tab w:val="center" w:pos="4513"/>
                <w:tab w:val="right" w:pos="9026"/>
              </w:tabs>
              <w:spacing w:after="0" w:line="256" w:lineRule="auto"/>
              <w:rPr>
                <w:szCs w:val="24"/>
                <w:lang w:val="fo-FO"/>
              </w:rPr>
            </w:pPr>
            <w:r w:rsidRPr="00D5345C">
              <w:rPr>
                <w:szCs w:val="24"/>
                <w:lang w:val="fo-FO"/>
              </w:rPr>
              <w:t>RNA</w:t>
            </w:r>
          </w:p>
        </w:tc>
      </w:tr>
      <w:tr w:rsidR="0088651F" w:rsidRPr="00D5345C" w14:paraId="40EBDC0F" w14:textId="77777777" w:rsidTr="0035699A">
        <w:trPr>
          <w:trHeight w:val="344"/>
          <w:jc w:val="right"/>
        </w:trPr>
        <w:tc>
          <w:tcPr>
            <w:tcW w:w="0" w:type="auto"/>
            <w:hideMark/>
          </w:tcPr>
          <w:p w14:paraId="16BB6927" w14:textId="77777777" w:rsidR="0088651F" w:rsidRPr="00D5345C" w:rsidRDefault="0088651F" w:rsidP="004D5A6C">
            <w:pPr>
              <w:spacing w:after="0" w:line="256" w:lineRule="auto"/>
              <w:rPr>
                <w:szCs w:val="24"/>
                <w:lang w:val="fo-FO"/>
              </w:rPr>
            </w:pPr>
            <w:r w:rsidRPr="00D5345C">
              <w:rPr>
                <w:szCs w:val="24"/>
                <w:lang w:val="fo-FO"/>
              </w:rPr>
              <w:t>Ummælistíð:</w:t>
            </w:r>
          </w:p>
        </w:tc>
        <w:tc>
          <w:tcPr>
            <w:tcW w:w="0" w:type="auto"/>
          </w:tcPr>
          <w:p w14:paraId="2EBDC2ED" w14:textId="1567C94C" w:rsidR="0088651F" w:rsidRPr="00D5345C" w:rsidRDefault="0088651F" w:rsidP="004D5A6C">
            <w:pPr>
              <w:tabs>
                <w:tab w:val="center" w:pos="4513"/>
                <w:tab w:val="right" w:pos="9026"/>
              </w:tabs>
              <w:spacing w:after="0" w:line="256" w:lineRule="auto"/>
              <w:rPr>
                <w:szCs w:val="24"/>
                <w:lang w:val="fo-FO"/>
              </w:rPr>
            </w:pPr>
          </w:p>
        </w:tc>
      </w:tr>
      <w:tr w:rsidR="0088651F" w:rsidRPr="00D5345C" w14:paraId="674F6EEE" w14:textId="77777777" w:rsidTr="00492214">
        <w:trPr>
          <w:trHeight w:val="565"/>
          <w:jc w:val="right"/>
        </w:trPr>
        <w:tc>
          <w:tcPr>
            <w:tcW w:w="0" w:type="auto"/>
            <w:hideMark/>
          </w:tcPr>
          <w:p w14:paraId="3365FCBF" w14:textId="77777777" w:rsidR="0088651F" w:rsidRPr="00D5345C" w:rsidRDefault="0088651F" w:rsidP="004D5A6C">
            <w:pPr>
              <w:spacing w:after="0" w:line="256" w:lineRule="auto"/>
              <w:rPr>
                <w:szCs w:val="24"/>
                <w:lang w:val="fo-FO"/>
              </w:rPr>
            </w:pPr>
            <w:r w:rsidRPr="00D5345C">
              <w:rPr>
                <w:szCs w:val="24"/>
                <w:lang w:val="fo-FO"/>
              </w:rPr>
              <w:t>Eftirkannað:</w:t>
            </w:r>
          </w:p>
        </w:tc>
        <w:tc>
          <w:tcPr>
            <w:tcW w:w="0" w:type="auto"/>
          </w:tcPr>
          <w:p w14:paraId="4BB12E70" w14:textId="1DBE0711" w:rsidR="0088651F" w:rsidRPr="00D5345C" w:rsidRDefault="0088651F">
            <w:pPr>
              <w:tabs>
                <w:tab w:val="center" w:pos="4513"/>
                <w:tab w:val="right" w:pos="9026"/>
              </w:tabs>
              <w:spacing w:line="256" w:lineRule="auto"/>
              <w:rPr>
                <w:szCs w:val="24"/>
                <w:lang w:val="fo-FO"/>
              </w:rPr>
            </w:pPr>
          </w:p>
        </w:tc>
      </w:tr>
    </w:tbl>
    <w:p w14:paraId="6D5F7E0B" w14:textId="77777777" w:rsidR="00EC3371" w:rsidRPr="00D5345C" w:rsidRDefault="00EC3371" w:rsidP="00EC3371">
      <w:pPr>
        <w:spacing w:after="0"/>
        <w:rPr>
          <w:rStyle w:val="TypografiFed"/>
          <w:b w:val="0"/>
          <w:lang w:val="fo-FO"/>
        </w:rPr>
      </w:pPr>
    </w:p>
    <w:p w14:paraId="38CF0C97" w14:textId="77777777" w:rsidR="00936A5E" w:rsidRDefault="00936A5E" w:rsidP="00EC3371">
      <w:pPr>
        <w:spacing w:after="0"/>
        <w:jc w:val="center"/>
        <w:rPr>
          <w:b/>
          <w:szCs w:val="24"/>
          <w:lang w:val="fo-FO"/>
        </w:rPr>
      </w:pPr>
    </w:p>
    <w:p w14:paraId="1EF5713F" w14:textId="56E56135" w:rsidR="00EC3371" w:rsidRPr="00D5345C" w:rsidRDefault="00EC3371" w:rsidP="00EC3371">
      <w:pPr>
        <w:spacing w:after="0"/>
        <w:jc w:val="center"/>
        <w:rPr>
          <w:b/>
          <w:szCs w:val="24"/>
          <w:lang w:val="fo-FO"/>
        </w:rPr>
      </w:pPr>
      <w:r w:rsidRPr="00D5345C">
        <w:rPr>
          <w:b/>
          <w:szCs w:val="24"/>
          <w:lang w:val="fo-FO"/>
        </w:rPr>
        <w:t xml:space="preserve">Kunngerð um broyting í kunngerð um </w:t>
      </w:r>
      <w:r w:rsidR="00D14A58" w:rsidRPr="00D5345C">
        <w:rPr>
          <w:b/>
          <w:szCs w:val="24"/>
          <w:lang w:val="fo-FO"/>
        </w:rPr>
        <w:t xml:space="preserve">stovnan og sjúkufyribyrgjandi </w:t>
      </w:r>
      <w:r w:rsidR="00483BBF" w:rsidRPr="00D5345C">
        <w:rPr>
          <w:b/>
          <w:szCs w:val="24"/>
          <w:lang w:val="fo-FO"/>
        </w:rPr>
        <w:t>rakstur</w:t>
      </w:r>
      <w:r w:rsidR="00D14A58" w:rsidRPr="00D5345C">
        <w:rPr>
          <w:b/>
          <w:szCs w:val="24"/>
          <w:lang w:val="fo-FO"/>
        </w:rPr>
        <w:t xml:space="preserve"> av alibrúkum</w:t>
      </w:r>
    </w:p>
    <w:p w14:paraId="49063329" w14:textId="057E42DC" w:rsidR="00EC3371" w:rsidRPr="00D5345C" w:rsidRDefault="00EC3371" w:rsidP="00EC3371">
      <w:pPr>
        <w:spacing w:after="0"/>
        <w:jc w:val="center"/>
        <w:rPr>
          <w:szCs w:val="24"/>
          <w:lang w:val="fo-FO"/>
        </w:rPr>
      </w:pPr>
      <w:r w:rsidRPr="00D5345C">
        <w:rPr>
          <w:szCs w:val="24"/>
          <w:lang w:val="fo-FO"/>
        </w:rPr>
        <w:t>(</w:t>
      </w:r>
      <w:r w:rsidR="009738C6">
        <w:rPr>
          <w:szCs w:val="24"/>
          <w:lang w:val="fo-FO"/>
        </w:rPr>
        <w:t>Brakklegging og frástøðukrøv</w:t>
      </w:r>
      <w:r w:rsidRPr="00D5345C">
        <w:rPr>
          <w:szCs w:val="24"/>
          <w:lang w:val="fo-FO"/>
        </w:rPr>
        <w:t>)</w:t>
      </w:r>
    </w:p>
    <w:p w14:paraId="0DE58B5B" w14:textId="77777777" w:rsidR="00EC3371" w:rsidRPr="00D5345C" w:rsidRDefault="00EC3371" w:rsidP="00EC3371">
      <w:pPr>
        <w:spacing w:after="0"/>
        <w:jc w:val="center"/>
        <w:rPr>
          <w:szCs w:val="24"/>
          <w:lang w:val="fo-FO"/>
        </w:rPr>
      </w:pPr>
    </w:p>
    <w:p w14:paraId="3A1FE545" w14:textId="77777777" w:rsidR="00EC3371" w:rsidRPr="00D5345C" w:rsidRDefault="00EC3371" w:rsidP="00EC3371">
      <w:pPr>
        <w:spacing w:after="0"/>
        <w:jc w:val="center"/>
        <w:rPr>
          <w:szCs w:val="24"/>
          <w:lang w:val="fo-FO"/>
        </w:rPr>
      </w:pPr>
    </w:p>
    <w:p w14:paraId="74AB5F48" w14:textId="77777777" w:rsidR="00EC3371" w:rsidRPr="00D5345C" w:rsidRDefault="00EC3371" w:rsidP="00EC3371">
      <w:pPr>
        <w:spacing w:after="0"/>
        <w:rPr>
          <w:rStyle w:val="TypografiKursiv"/>
          <w:i w:val="0"/>
          <w:lang w:val="fo-FO"/>
        </w:rPr>
        <w:sectPr w:rsidR="00EC3371" w:rsidRPr="00D5345C" w:rsidSect="00F177DF">
          <w:headerReference w:type="even" r:id="rId9"/>
          <w:headerReference w:type="default" r:id="rId10"/>
          <w:headerReference w:type="first" r:id="rId11"/>
          <w:pgSz w:w="11906" w:h="16838"/>
          <w:pgMar w:top="1440" w:right="1440" w:bottom="1440" w:left="1440" w:header="709" w:footer="709" w:gutter="0"/>
          <w:cols w:space="708"/>
          <w:docGrid w:linePitch="360"/>
        </w:sectPr>
      </w:pPr>
    </w:p>
    <w:p w14:paraId="6D73377A" w14:textId="77777777" w:rsidR="00EC3371" w:rsidRPr="00D5345C" w:rsidRDefault="00EC3371" w:rsidP="004D5A6C">
      <w:pPr>
        <w:jc w:val="center"/>
        <w:rPr>
          <w:b/>
          <w:lang w:val="fo-FO"/>
        </w:rPr>
      </w:pPr>
      <w:r w:rsidRPr="00D5345C">
        <w:rPr>
          <w:b/>
          <w:lang w:val="fo-FO"/>
        </w:rPr>
        <w:t>§ 1</w:t>
      </w:r>
    </w:p>
    <w:p w14:paraId="782439EE" w14:textId="77777777" w:rsidR="00EC3371" w:rsidRPr="00D5345C" w:rsidRDefault="00EC3371" w:rsidP="00EC3371">
      <w:pPr>
        <w:spacing w:after="0"/>
        <w:rPr>
          <w:lang w:val="fo-FO"/>
        </w:rPr>
      </w:pPr>
    </w:p>
    <w:p w14:paraId="20CF4DFB" w14:textId="2A84B6AC" w:rsidR="00EC3371" w:rsidRPr="00D5345C" w:rsidRDefault="00EC3371" w:rsidP="00EC3371">
      <w:pPr>
        <w:spacing w:after="0"/>
        <w:rPr>
          <w:lang w:val="fo-FO"/>
        </w:rPr>
      </w:pPr>
      <w:r w:rsidRPr="00D5345C">
        <w:rPr>
          <w:lang w:val="fo-FO"/>
        </w:rPr>
        <w:t xml:space="preserve">Í kunngerð nr. </w:t>
      </w:r>
      <w:r w:rsidR="00C07ADE">
        <w:rPr>
          <w:lang w:val="fo-FO"/>
        </w:rPr>
        <w:t>8</w:t>
      </w:r>
      <w:r w:rsidR="00C73DDC" w:rsidRPr="00D5345C">
        <w:rPr>
          <w:lang w:val="fo-FO"/>
        </w:rPr>
        <w:t xml:space="preserve">0 </w:t>
      </w:r>
      <w:r w:rsidRPr="00D5345C">
        <w:rPr>
          <w:lang w:val="fo-FO"/>
        </w:rPr>
        <w:t>frá</w:t>
      </w:r>
      <w:r w:rsidR="00C73DDC" w:rsidRPr="00D5345C">
        <w:rPr>
          <w:lang w:val="fo-FO"/>
        </w:rPr>
        <w:t xml:space="preserve"> 14. juni 2019</w:t>
      </w:r>
      <w:r w:rsidRPr="00D5345C">
        <w:rPr>
          <w:lang w:val="fo-FO"/>
        </w:rPr>
        <w:t xml:space="preserve"> um </w:t>
      </w:r>
      <w:r w:rsidR="00C73DDC" w:rsidRPr="00D5345C">
        <w:rPr>
          <w:lang w:val="fo-FO"/>
        </w:rPr>
        <w:t>stov</w:t>
      </w:r>
      <w:r w:rsidR="00AB37B1">
        <w:rPr>
          <w:lang w:val="fo-FO"/>
        </w:rPr>
        <w:t>n</w:t>
      </w:r>
      <w:r w:rsidR="00C73DDC" w:rsidRPr="00D5345C">
        <w:rPr>
          <w:lang w:val="fo-FO"/>
        </w:rPr>
        <w:t>an og sjúkufyribyrgjandi rakstur av alibrúkum</w:t>
      </w:r>
      <w:r w:rsidRPr="00D5345C">
        <w:rPr>
          <w:lang w:val="fo-FO"/>
        </w:rPr>
        <w:t>,</w:t>
      </w:r>
      <w:r w:rsidR="00C07ADE">
        <w:rPr>
          <w:lang w:val="fo-FO"/>
        </w:rPr>
        <w:t xml:space="preserve"> sum broytt við kunngerð nr. </w:t>
      </w:r>
      <w:r w:rsidR="006B2A1F">
        <w:rPr>
          <w:lang w:val="fo-FO"/>
        </w:rPr>
        <w:t>21</w:t>
      </w:r>
      <w:r w:rsidR="00C07ADE">
        <w:rPr>
          <w:lang w:val="fo-FO"/>
        </w:rPr>
        <w:t xml:space="preserve"> frá </w:t>
      </w:r>
      <w:r w:rsidR="006B2A1F">
        <w:rPr>
          <w:lang w:val="fo-FO"/>
        </w:rPr>
        <w:t>3</w:t>
      </w:r>
      <w:r w:rsidR="00C07ADE">
        <w:rPr>
          <w:lang w:val="fo-FO"/>
        </w:rPr>
        <w:t xml:space="preserve">. </w:t>
      </w:r>
      <w:r w:rsidR="006B2A1F">
        <w:rPr>
          <w:lang w:val="fo-FO"/>
        </w:rPr>
        <w:t>apríl</w:t>
      </w:r>
      <w:r w:rsidR="00C07ADE">
        <w:rPr>
          <w:lang w:val="fo-FO"/>
        </w:rPr>
        <w:t xml:space="preserve"> 202</w:t>
      </w:r>
      <w:r w:rsidR="006B2A1F">
        <w:rPr>
          <w:lang w:val="fo-FO"/>
        </w:rPr>
        <w:t>4</w:t>
      </w:r>
      <w:r w:rsidR="00C83BAF">
        <w:rPr>
          <w:lang w:val="fo-FO"/>
        </w:rPr>
        <w:t>,</w:t>
      </w:r>
      <w:r w:rsidRPr="00D5345C">
        <w:rPr>
          <w:lang w:val="fo-FO"/>
        </w:rPr>
        <w:t xml:space="preserve"> verða gjørdar hesar broytingar:</w:t>
      </w:r>
    </w:p>
    <w:p w14:paraId="4BEF6D06" w14:textId="77777777" w:rsidR="00EC3371" w:rsidRDefault="00EC3371" w:rsidP="00EC3371">
      <w:pPr>
        <w:spacing w:after="0"/>
        <w:rPr>
          <w:lang w:val="fo-FO"/>
        </w:rPr>
      </w:pPr>
    </w:p>
    <w:p w14:paraId="26B9DD3D" w14:textId="038A48DA" w:rsidR="00C07ADE" w:rsidRDefault="00C07ADE" w:rsidP="00C07ADE">
      <w:pPr>
        <w:spacing w:after="0"/>
        <w:ind w:left="360" w:hanging="360"/>
        <w:rPr>
          <w:lang w:val="fo-FO"/>
        </w:rPr>
      </w:pPr>
      <w:r w:rsidRPr="00740E28">
        <w:rPr>
          <w:b/>
          <w:bCs/>
          <w:lang w:val="fo-FO"/>
        </w:rPr>
        <w:t>1.</w:t>
      </w:r>
      <w:r w:rsidRPr="00740E28">
        <w:rPr>
          <w:b/>
          <w:bCs/>
          <w:lang w:val="fo-FO"/>
        </w:rPr>
        <w:tab/>
      </w:r>
      <w:r>
        <w:rPr>
          <w:lang w:val="fo-FO"/>
        </w:rPr>
        <w:t>Inngangurin verður orðaður soleiðis:</w:t>
      </w:r>
    </w:p>
    <w:p w14:paraId="506CE6CE" w14:textId="136D22FF" w:rsidR="00E83B1B" w:rsidRDefault="00C07ADE" w:rsidP="0083157A">
      <w:pPr>
        <w:spacing w:after="0"/>
        <w:ind w:left="360"/>
        <w:rPr>
          <w:color w:val="000000"/>
          <w:shd w:val="clear" w:color="auto" w:fill="FFFFFF"/>
          <w:lang w:val="fo-FO"/>
        </w:rPr>
      </w:pPr>
      <w:r>
        <w:rPr>
          <w:szCs w:val="24"/>
          <w:lang w:val="fo-FO"/>
        </w:rPr>
        <w:t>“</w:t>
      </w:r>
      <w:r w:rsidRPr="00740E28">
        <w:rPr>
          <w:color w:val="000000"/>
          <w:shd w:val="clear" w:color="auto" w:fill="FFFFFF"/>
          <w:lang w:val="fo-FO"/>
        </w:rPr>
        <w:t xml:space="preserve">Við heimild í § 9, stk. 1, § 10, § 11, stk. 1-6 og 8, </w:t>
      </w:r>
      <w:r w:rsidR="003B0ACD" w:rsidRPr="00740E28">
        <w:rPr>
          <w:color w:val="000000"/>
          <w:shd w:val="clear" w:color="auto" w:fill="FFFFFF"/>
          <w:lang w:val="fo-FO"/>
        </w:rPr>
        <w:t>§ 12, stk. 1 og 3,</w:t>
      </w:r>
      <w:r w:rsidR="003B0ACD">
        <w:rPr>
          <w:color w:val="000000"/>
          <w:shd w:val="clear" w:color="auto" w:fill="FFFFFF"/>
          <w:lang w:val="fo-FO"/>
        </w:rPr>
        <w:t xml:space="preserve"> </w:t>
      </w:r>
      <w:r w:rsidRPr="00740E28">
        <w:rPr>
          <w:color w:val="000000"/>
          <w:shd w:val="clear" w:color="auto" w:fill="FFFFFF"/>
          <w:lang w:val="fo-FO"/>
        </w:rPr>
        <w:t>§§ 13</w:t>
      </w:r>
      <w:r w:rsidR="00C83BAF">
        <w:rPr>
          <w:color w:val="000000"/>
          <w:shd w:val="clear" w:color="auto" w:fill="FFFFFF"/>
          <w:lang w:val="fo-FO"/>
        </w:rPr>
        <w:t>,</w:t>
      </w:r>
      <w:r w:rsidRPr="00740E28">
        <w:rPr>
          <w:color w:val="000000"/>
          <w:shd w:val="clear" w:color="auto" w:fill="FFFFFF"/>
          <w:lang w:val="fo-FO"/>
        </w:rPr>
        <w:t xml:space="preserve"> 14,</w:t>
      </w:r>
      <w:r w:rsidR="00C83BAF">
        <w:rPr>
          <w:color w:val="000000"/>
          <w:shd w:val="clear" w:color="auto" w:fill="FFFFFF"/>
          <w:lang w:val="fo-FO"/>
        </w:rPr>
        <w:t xml:space="preserve"> </w:t>
      </w:r>
      <w:r w:rsidRPr="00740E28">
        <w:rPr>
          <w:color w:val="000000"/>
          <w:shd w:val="clear" w:color="auto" w:fill="FFFFFF"/>
          <w:lang w:val="fo-FO"/>
        </w:rPr>
        <w:t>16 og 17, § 19, stk. 1 og 3, § 20, stk. 1, § 26, stk. 1, §§ 27, 28, 30, 32 og 35, § 39, stk. 1, § 40, stk. 1, § 41, stk. 2, § 42, stk. 1, § 46</w:t>
      </w:r>
      <w:r w:rsidR="00E83B1B">
        <w:rPr>
          <w:color w:val="000000"/>
          <w:shd w:val="clear" w:color="auto" w:fill="FFFFFF"/>
          <w:lang w:val="fo-FO"/>
        </w:rPr>
        <w:t>, stk. 1-3</w:t>
      </w:r>
      <w:r w:rsidRPr="00740E28">
        <w:rPr>
          <w:color w:val="000000"/>
          <w:shd w:val="clear" w:color="auto" w:fill="FFFFFF"/>
          <w:lang w:val="fo-FO"/>
        </w:rPr>
        <w:t xml:space="preserve"> og § 48, stk. 2 og 3 í løgtingslóg nr. 16 frá 23. februar 2001 um djórasjúkur, sum broytt við løgtingslóg nr. 18. frá 8. mai 2008, løgtingslóg nr. 105 frá 13. juli 2017</w:t>
      </w:r>
      <w:r w:rsidR="000247AE">
        <w:rPr>
          <w:color w:val="000000"/>
          <w:shd w:val="clear" w:color="auto" w:fill="FFFFFF"/>
          <w:lang w:val="fo-FO"/>
        </w:rPr>
        <w:t xml:space="preserve"> </w:t>
      </w:r>
      <w:r w:rsidR="00C3438F">
        <w:rPr>
          <w:color w:val="000000"/>
          <w:shd w:val="clear" w:color="auto" w:fill="FFFFFF"/>
          <w:lang w:val="fo-FO"/>
        </w:rPr>
        <w:t>og</w:t>
      </w:r>
      <w:r w:rsidRPr="00740E28">
        <w:rPr>
          <w:color w:val="000000"/>
          <w:shd w:val="clear" w:color="auto" w:fill="FFFFFF"/>
          <w:lang w:val="fo-FO"/>
        </w:rPr>
        <w:t xml:space="preserve"> løgtingslóg nr. 31. frá 17. mars 2022 og </w:t>
      </w:r>
      <w:r w:rsidR="0098111B">
        <w:rPr>
          <w:color w:val="000000"/>
          <w:shd w:val="clear" w:color="auto" w:fill="FFFFFF"/>
          <w:lang w:val="fo-FO"/>
        </w:rPr>
        <w:t xml:space="preserve">í </w:t>
      </w:r>
      <w:r w:rsidRPr="00740E28">
        <w:rPr>
          <w:color w:val="000000"/>
          <w:shd w:val="clear" w:color="auto" w:fill="FFFFFF"/>
          <w:lang w:val="fo-FO"/>
        </w:rPr>
        <w:t xml:space="preserve">§ 9, stk. 2, § 10, stk. 2 og 3, § 13, § 16, stk. 2, § 17, § 18, stk. 3 og § 25 í løgtingslóg nr. 83 frá 25. mai 2009 um aling av fiski </w:t>
      </w:r>
      <w:r w:rsidR="0082241A" w:rsidRPr="00740E28">
        <w:rPr>
          <w:color w:val="000000"/>
          <w:shd w:val="clear" w:color="auto" w:fill="FFFFFF"/>
          <w:lang w:val="fo-FO"/>
        </w:rPr>
        <w:t>v.m.</w:t>
      </w:r>
      <w:r w:rsidRPr="00740E28">
        <w:rPr>
          <w:color w:val="000000"/>
          <w:shd w:val="clear" w:color="auto" w:fill="FFFFFF"/>
          <w:lang w:val="fo-FO"/>
        </w:rPr>
        <w:t xml:space="preserve">, sum </w:t>
      </w:r>
    </w:p>
    <w:p w14:paraId="0087A904" w14:textId="6B199774" w:rsidR="00C07ADE" w:rsidRPr="00C07ADE" w:rsidRDefault="00C07ADE" w:rsidP="0083157A">
      <w:pPr>
        <w:spacing w:after="0"/>
        <w:ind w:left="360"/>
        <w:rPr>
          <w:lang w:val="fo-FO"/>
        </w:rPr>
      </w:pPr>
      <w:r w:rsidRPr="00740E28">
        <w:rPr>
          <w:color w:val="000000"/>
          <w:shd w:val="clear" w:color="auto" w:fill="FFFFFF"/>
          <w:lang w:val="fo-FO"/>
        </w:rPr>
        <w:t xml:space="preserve">broytt við </w:t>
      </w:r>
      <w:r w:rsidR="000247AE">
        <w:rPr>
          <w:color w:val="000000"/>
          <w:shd w:val="clear" w:color="auto" w:fill="FFFFFF"/>
          <w:lang w:val="fo-FO"/>
        </w:rPr>
        <w:t xml:space="preserve">løgtingslóg nr. 168 frá 16. desember 2021, </w:t>
      </w:r>
      <w:r w:rsidRPr="00740E28">
        <w:rPr>
          <w:color w:val="000000"/>
          <w:shd w:val="clear" w:color="auto" w:fill="FFFFFF"/>
          <w:lang w:val="fo-FO"/>
        </w:rPr>
        <w:t xml:space="preserve">og </w:t>
      </w:r>
      <w:r w:rsidR="0098111B">
        <w:rPr>
          <w:color w:val="000000"/>
          <w:shd w:val="clear" w:color="auto" w:fill="FFFFFF"/>
          <w:lang w:val="fo-FO"/>
        </w:rPr>
        <w:t xml:space="preserve">í </w:t>
      </w:r>
      <w:r w:rsidRPr="00740E28">
        <w:rPr>
          <w:color w:val="000000"/>
          <w:shd w:val="clear" w:color="auto" w:fill="FFFFFF"/>
          <w:lang w:val="fo-FO"/>
        </w:rPr>
        <w:t xml:space="preserve">§ 9, stk. 5, § 12, </w:t>
      </w:r>
      <w:r w:rsidRPr="00740E28">
        <w:rPr>
          <w:color w:val="000000"/>
          <w:shd w:val="clear" w:color="auto" w:fill="FFFFFF"/>
          <w:lang w:val="fo-FO"/>
        </w:rPr>
        <w:t xml:space="preserve">stk. 3, § 16, stk. 2, § 17, stk. 2, § 18, stk. 2, § 19, stk. 4, § 20, stk. 4, § 22, stk. 3, § 27 og </w:t>
      </w:r>
      <w:r w:rsidR="00176180">
        <w:rPr>
          <w:color w:val="000000"/>
          <w:shd w:val="clear" w:color="auto" w:fill="FFFFFF"/>
          <w:lang w:val="fo-FO"/>
        </w:rPr>
        <w:t xml:space="preserve">§ </w:t>
      </w:r>
      <w:r w:rsidRPr="00740E28">
        <w:rPr>
          <w:color w:val="000000"/>
          <w:shd w:val="clear" w:color="auto" w:fill="FFFFFF"/>
          <w:lang w:val="fo-FO"/>
        </w:rPr>
        <w:t>28,</w:t>
      </w:r>
      <w:r w:rsidR="00176180">
        <w:rPr>
          <w:color w:val="000000"/>
          <w:shd w:val="clear" w:color="auto" w:fill="FFFFFF"/>
          <w:lang w:val="fo-FO"/>
        </w:rPr>
        <w:t xml:space="preserve"> stk. 1</w:t>
      </w:r>
      <w:r w:rsidRPr="00740E28">
        <w:rPr>
          <w:color w:val="000000"/>
          <w:shd w:val="clear" w:color="auto" w:fill="FFFFFF"/>
          <w:lang w:val="fo-FO"/>
        </w:rPr>
        <w:t xml:space="preserve"> § 30, stk. 6 í løgtingslóg nr. 49 frá 30. apríl 2018 um djóravælferð (Djóravælferðarlógin),</w:t>
      </w:r>
      <w:r w:rsidR="006108DD">
        <w:rPr>
          <w:color w:val="000000"/>
          <w:shd w:val="clear" w:color="auto" w:fill="FFFFFF"/>
          <w:lang w:val="fo-FO"/>
        </w:rPr>
        <w:t xml:space="preserve"> sum broytt við løgtingslóg nr. 91 frá 7. juni 2020</w:t>
      </w:r>
      <w:r w:rsidR="00C83BAF">
        <w:rPr>
          <w:color w:val="000000"/>
          <w:shd w:val="clear" w:color="auto" w:fill="FFFFFF"/>
          <w:lang w:val="fo-FO"/>
        </w:rPr>
        <w:t>,</w:t>
      </w:r>
      <w:r w:rsidRPr="00740E28">
        <w:rPr>
          <w:color w:val="000000"/>
          <w:shd w:val="clear" w:color="auto" w:fill="FFFFFF"/>
          <w:lang w:val="fo-FO"/>
        </w:rPr>
        <w:t xml:space="preserve"> verður ásett:”</w:t>
      </w:r>
    </w:p>
    <w:p w14:paraId="1174737A" w14:textId="77777777" w:rsidR="00C07ADE" w:rsidRPr="00D5345C" w:rsidRDefault="00C07ADE" w:rsidP="00EC3371">
      <w:pPr>
        <w:spacing w:after="0"/>
        <w:rPr>
          <w:lang w:val="fo-FO"/>
        </w:rPr>
      </w:pPr>
    </w:p>
    <w:p w14:paraId="25940F87" w14:textId="14F97C8F" w:rsidR="003457DC" w:rsidRPr="00C07ADE" w:rsidRDefault="00C07ADE" w:rsidP="00492214">
      <w:pPr>
        <w:spacing w:after="0"/>
        <w:ind w:left="360" w:hanging="360"/>
        <w:rPr>
          <w:szCs w:val="24"/>
          <w:lang w:val="fo-FO"/>
        </w:rPr>
      </w:pPr>
      <w:r>
        <w:rPr>
          <w:b/>
          <w:szCs w:val="24"/>
          <w:lang w:val="fo-FO"/>
        </w:rPr>
        <w:t>2.</w:t>
      </w:r>
      <w:r>
        <w:rPr>
          <w:b/>
          <w:szCs w:val="24"/>
          <w:lang w:val="fo-FO"/>
        </w:rPr>
        <w:tab/>
      </w:r>
      <w:r w:rsidR="00D720C8" w:rsidRPr="00C07ADE">
        <w:rPr>
          <w:szCs w:val="24"/>
          <w:lang w:val="fo-FO"/>
        </w:rPr>
        <w:t>§ 65, st</w:t>
      </w:r>
      <w:r w:rsidR="003D6F3F" w:rsidRPr="00C07ADE">
        <w:rPr>
          <w:szCs w:val="24"/>
          <w:lang w:val="fo-FO"/>
        </w:rPr>
        <w:t>k.</w:t>
      </w:r>
      <w:r w:rsidR="00D720C8" w:rsidRPr="00C07ADE">
        <w:rPr>
          <w:szCs w:val="24"/>
          <w:lang w:val="fo-FO"/>
        </w:rPr>
        <w:t xml:space="preserve"> 2</w:t>
      </w:r>
      <w:r w:rsidR="00B732D0" w:rsidRPr="00C07ADE">
        <w:rPr>
          <w:szCs w:val="24"/>
          <w:lang w:val="fo-FO"/>
        </w:rPr>
        <w:t xml:space="preserve"> verður orðað soleiðis: </w:t>
      </w:r>
    </w:p>
    <w:p w14:paraId="27CA315C" w14:textId="73125DB8" w:rsidR="00F913F2" w:rsidRDefault="00B05136" w:rsidP="00B660D5">
      <w:pPr>
        <w:pStyle w:val="Listeafsnit"/>
        <w:spacing w:after="0"/>
        <w:ind w:left="360"/>
        <w:rPr>
          <w:szCs w:val="24"/>
          <w:lang w:val="fo-FO"/>
        </w:rPr>
      </w:pPr>
      <w:r>
        <w:rPr>
          <w:szCs w:val="24"/>
          <w:lang w:val="fo-FO"/>
        </w:rPr>
        <w:t>“</w:t>
      </w:r>
      <w:r w:rsidR="003457DC" w:rsidRPr="003457DC">
        <w:rPr>
          <w:i/>
          <w:iCs/>
          <w:szCs w:val="24"/>
          <w:lang w:val="fo-FO"/>
        </w:rPr>
        <w:t>Stk. 2.</w:t>
      </w:r>
      <w:r w:rsidR="003457DC">
        <w:rPr>
          <w:szCs w:val="24"/>
          <w:lang w:val="fo-FO"/>
        </w:rPr>
        <w:t xml:space="preserve"> </w:t>
      </w:r>
      <w:r w:rsidR="00FA527B" w:rsidRPr="00FA527B">
        <w:rPr>
          <w:szCs w:val="24"/>
          <w:lang w:val="fo-FO"/>
        </w:rPr>
        <w:t>Alibrúk ella rakstareindir við fiski, sum liggja minni enn 5 kilometrar frá øðrum alibrúki, skulu brakkleggjast í minsta lagi 1 mánað í senn, roknað frá tí degi, alibrúkið ella rakstrareindin er tømd og nótir eru tiknar burtur. Embætisdjóralækni kann geva frávik frá frástøðukravinum, um mett verður, at tað ikki førir við sær munandi vanda fyri, at smittandi sjúka verður spjadd.</w:t>
      </w:r>
    </w:p>
    <w:p w14:paraId="45D256CC" w14:textId="77777777" w:rsidR="00B660D5" w:rsidRDefault="00B660D5" w:rsidP="00B660D5">
      <w:pPr>
        <w:pStyle w:val="Listeafsnit"/>
        <w:spacing w:after="0"/>
        <w:ind w:left="360"/>
        <w:rPr>
          <w:szCs w:val="24"/>
          <w:lang w:val="fo-FO"/>
        </w:rPr>
      </w:pPr>
    </w:p>
    <w:p w14:paraId="42F67E6D" w14:textId="55C005CC" w:rsidR="00740E28" w:rsidRDefault="00EC3371" w:rsidP="00A57395">
      <w:pPr>
        <w:jc w:val="center"/>
        <w:rPr>
          <w:b/>
          <w:lang w:val="fo-FO"/>
        </w:rPr>
      </w:pPr>
      <w:r w:rsidRPr="00D5345C">
        <w:rPr>
          <w:b/>
          <w:lang w:val="fo-FO"/>
        </w:rPr>
        <w:t>§ 2</w:t>
      </w:r>
    </w:p>
    <w:p w14:paraId="11E4CEA8" w14:textId="13860F13" w:rsidR="00EC3371" w:rsidRPr="00D5345C" w:rsidRDefault="00EC3371" w:rsidP="00D350FA">
      <w:pPr>
        <w:rPr>
          <w:szCs w:val="24"/>
          <w:lang w:val="fo-FO"/>
        </w:rPr>
      </w:pPr>
      <w:r w:rsidRPr="00D5345C">
        <w:rPr>
          <w:szCs w:val="24"/>
          <w:lang w:val="fo-FO"/>
        </w:rPr>
        <w:t>Henda kunngerð kemur í gildi dagin eftir, at hon er kunngjørd.</w:t>
      </w:r>
    </w:p>
    <w:p w14:paraId="11D8C4E5" w14:textId="77777777" w:rsidR="00EC3371" w:rsidRPr="00D5345C" w:rsidRDefault="00EC3371" w:rsidP="00EC3371">
      <w:pPr>
        <w:spacing w:after="0"/>
        <w:jc w:val="both"/>
        <w:rPr>
          <w:szCs w:val="24"/>
          <w:lang w:val="fo-FO"/>
        </w:rPr>
        <w:sectPr w:rsidR="00EC3371" w:rsidRPr="00D5345C" w:rsidSect="00F177DF">
          <w:type w:val="continuous"/>
          <w:pgSz w:w="11906" w:h="16838"/>
          <w:pgMar w:top="1440" w:right="1440" w:bottom="1440" w:left="1440" w:header="709" w:footer="709" w:gutter="0"/>
          <w:cols w:num="2" w:space="708"/>
          <w:docGrid w:linePitch="360"/>
        </w:sectPr>
      </w:pPr>
    </w:p>
    <w:p w14:paraId="44065211" w14:textId="77777777" w:rsidR="00EC3371" w:rsidRPr="00D5345C" w:rsidRDefault="00EC3371" w:rsidP="002576D1">
      <w:pPr>
        <w:spacing w:after="0"/>
        <w:jc w:val="center"/>
        <w:rPr>
          <w:szCs w:val="24"/>
          <w:lang w:val="fo-FO"/>
        </w:rPr>
      </w:pPr>
    </w:p>
    <w:p w14:paraId="41873DF4" w14:textId="77777777" w:rsidR="00EC3371" w:rsidRPr="00D5345C" w:rsidRDefault="00EC3371" w:rsidP="002576D1">
      <w:pPr>
        <w:spacing w:after="0"/>
        <w:jc w:val="center"/>
        <w:rPr>
          <w:szCs w:val="24"/>
          <w:lang w:val="fo-FO"/>
        </w:rPr>
      </w:pPr>
    </w:p>
    <w:p w14:paraId="7C608311" w14:textId="0A4D48AA" w:rsidR="00EC3371" w:rsidRPr="00D5345C" w:rsidRDefault="00D5345C" w:rsidP="00A57395">
      <w:pPr>
        <w:spacing w:line="259" w:lineRule="auto"/>
        <w:jc w:val="center"/>
        <w:rPr>
          <w:szCs w:val="24"/>
          <w:lang w:val="fo-FO"/>
        </w:rPr>
      </w:pPr>
      <w:r>
        <w:rPr>
          <w:szCs w:val="24"/>
          <w:lang w:val="fo-FO"/>
        </w:rPr>
        <w:lastRenderedPageBreak/>
        <w:t>Uttanríkis- og vinnumálaráðið</w:t>
      </w:r>
      <w:r w:rsidR="00EC3371" w:rsidRPr="00D5345C">
        <w:rPr>
          <w:szCs w:val="24"/>
          <w:lang w:val="fo-FO"/>
        </w:rPr>
        <w:t xml:space="preserve">, </w:t>
      </w:r>
      <w:r w:rsidR="000C5396">
        <w:rPr>
          <w:szCs w:val="24"/>
          <w:lang w:val="fo-FO"/>
        </w:rPr>
        <w:t>9</w:t>
      </w:r>
      <w:r w:rsidR="00D350FA">
        <w:rPr>
          <w:szCs w:val="24"/>
          <w:lang w:val="fo-FO"/>
        </w:rPr>
        <w:t>. juli</w:t>
      </w:r>
      <w:r w:rsidR="006B2A1F">
        <w:rPr>
          <w:szCs w:val="24"/>
          <w:lang w:val="fo-FO"/>
        </w:rPr>
        <w:t xml:space="preserve"> </w:t>
      </w:r>
      <w:r>
        <w:rPr>
          <w:szCs w:val="24"/>
          <w:lang w:val="fo-FO"/>
        </w:rPr>
        <w:t>2024</w:t>
      </w:r>
    </w:p>
    <w:p w14:paraId="1D9123AE" w14:textId="77777777" w:rsidR="00EC3371" w:rsidRPr="00D5345C" w:rsidRDefault="00EC3371" w:rsidP="00EC3371">
      <w:pPr>
        <w:spacing w:after="0"/>
        <w:jc w:val="center"/>
        <w:rPr>
          <w:szCs w:val="24"/>
          <w:lang w:val="fo-FO"/>
        </w:rPr>
      </w:pPr>
    </w:p>
    <w:p w14:paraId="64129177" w14:textId="77777777" w:rsidR="00EC3371" w:rsidRPr="00D5345C" w:rsidRDefault="00EC3371" w:rsidP="00EC3371">
      <w:pPr>
        <w:spacing w:after="0"/>
        <w:jc w:val="center"/>
        <w:rPr>
          <w:szCs w:val="24"/>
          <w:lang w:val="fo-FO"/>
        </w:rPr>
      </w:pPr>
    </w:p>
    <w:p w14:paraId="37637878" w14:textId="086AB49E" w:rsidR="00EC3371" w:rsidRPr="00D5345C" w:rsidRDefault="00D5345C" w:rsidP="00EC3371">
      <w:pPr>
        <w:spacing w:after="0"/>
        <w:jc w:val="center"/>
        <w:rPr>
          <w:b/>
          <w:szCs w:val="24"/>
          <w:lang w:val="fo-FO"/>
        </w:rPr>
      </w:pPr>
      <w:r>
        <w:rPr>
          <w:b/>
          <w:szCs w:val="24"/>
          <w:lang w:val="fo-FO"/>
        </w:rPr>
        <w:t>Høgni Hoydal</w:t>
      </w:r>
      <w:r w:rsidR="00936A5E">
        <w:rPr>
          <w:b/>
          <w:szCs w:val="24"/>
          <w:lang w:val="fo-FO"/>
        </w:rPr>
        <w:t xml:space="preserve"> (sign.)</w:t>
      </w:r>
    </w:p>
    <w:p w14:paraId="7E115F31" w14:textId="77777777" w:rsidR="00EC3371" w:rsidRPr="00D5345C" w:rsidRDefault="00EC3371" w:rsidP="00EC3371">
      <w:pPr>
        <w:spacing w:after="0"/>
        <w:jc w:val="center"/>
        <w:rPr>
          <w:szCs w:val="24"/>
          <w:lang w:val="fo-FO"/>
        </w:rPr>
      </w:pPr>
      <w:r w:rsidRPr="00D5345C">
        <w:rPr>
          <w:szCs w:val="24"/>
          <w:lang w:val="fo-FO"/>
        </w:rPr>
        <w:t>landsstýrismaður</w:t>
      </w:r>
    </w:p>
    <w:p w14:paraId="7B7DE591" w14:textId="77777777" w:rsidR="00EC3371" w:rsidRPr="00D5345C" w:rsidRDefault="00EC3371" w:rsidP="004D5A6C">
      <w:pPr>
        <w:spacing w:after="0"/>
        <w:rPr>
          <w:szCs w:val="24"/>
          <w:lang w:val="fo-FO"/>
        </w:rPr>
      </w:pPr>
    </w:p>
    <w:p w14:paraId="27DCD4CD" w14:textId="74AC9B48" w:rsidR="00EC3371" w:rsidRPr="00D5345C" w:rsidRDefault="00EC3371" w:rsidP="00EC3371">
      <w:pPr>
        <w:spacing w:after="0"/>
        <w:jc w:val="right"/>
        <w:rPr>
          <w:szCs w:val="24"/>
          <w:lang w:val="fo-FO"/>
        </w:rPr>
      </w:pPr>
      <w:r w:rsidRPr="00D5345C">
        <w:rPr>
          <w:szCs w:val="24"/>
          <w:lang w:val="fo-FO"/>
        </w:rPr>
        <w:t xml:space="preserve">/ </w:t>
      </w:r>
      <w:r w:rsidR="00D5345C">
        <w:rPr>
          <w:szCs w:val="24"/>
          <w:lang w:val="fo-FO"/>
        </w:rPr>
        <w:t>Herálvur Joensen</w:t>
      </w:r>
      <w:r w:rsidR="00936A5E">
        <w:rPr>
          <w:szCs w:val="24"/>
          <w:lang w:val="fo-FO"/>
        </w:rPr>
        <w:t xml:space="preserve"> (sign.)</w:t>
      </w:r>
    </w:p>
    <w:p w14:paraId="5DDC9051" w14:textId="283CED54" w:rsidR="00EC3371" w:rsidRPr="00D5345C" w:rsidRDefault="00EC3371" w:rsidP="00EC3371">
      <w:pPr>
        <w:spacing w:after="0"/>
        <w:rPr>
          <w:szCs w:val="24"/>
          <w:lang w:val="fo-FO"/>
        </w:rPr>
      </w:pPr>
    </w:p>
    <w:sectPr w:rsidR="00EC3371" w:rsidRPr="00D5345C" w:rsidSect="00F177DF">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5BAAA" w14:textId="77777777" w:rsidR="00314D23" w:rsidRDefault="00314D23">
      <w:pPr>
        <w:spacing w:after="0"/>
      </w:pPr>
      <w:r>
        <w:separator/>
      </w:r>
    </w:p>
  </w:endnote>
  <w:endnote w:type="continuationSeparator" w:id="0">
    <w:p w14:paraId="2309A29B" w14:textId="77777777" w:rsidR="00314D23" w:rsidRDefault="00314D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44D97" w14:textId="77777777" w:rsidR="00314D23" w:rsidRDefault="00314D23">
      <w:pPr>
        <w:spacing w:after="0"/>
      </w:pPr>
      <w:r>
        <w:separator/>
      </w:r>
    </w:p>
  </w:footnote>
  <w:footnote w:type="continuationSeparator" w:id="0">
    <w:p w14:paraId="0565931B" w14:textId="77777777" w:rsidR="00314D23" w:rsidRDefault="00314D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E446A" w14:textId="77777777" w:rsidR="00E105F0" w:rsidRPr="00DA32B2" w:rsidRDefault="00E105F0">
    <w:pPr>
      <w:pStyle w:val="Sidehoved"/>
      <w:rPr>
        <w:szCs w:val="24"/>
      </w:rPr>
    </w:pPr>
  </w:p>
  <w:p w14:paraId="263393B7" w14:textId="77777777" w:rsidR="00E105F0" w:rsidRPr="00DA32B2" w:rsidRDefault="00E105F0">
    <w:pPr>
      <w:pStyle w:val="Sidehoved"/>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3B426" w14:textId="77777777" w:rsidR="00E105F0" w:rsidRPr="00DA32B2" w:rsidRDefault="00E105F0" w:rsidP="00035C9D">
    <w:pPr>
      <w:pStyle w:val="Sidehoved"/>
      <w:tabs>
        <w:tab w:val="left" w:pos="3690"/>
      </w:tabs>
      <w:spacing w:before="240"/>
      <w:rPr>
        <w:b/>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3EC86" w14:textId="77777777" w:rsidR="00E105F0" w:rsidRDefault="00E105F0">
    <w:pPr>
      <w:pStyle w:val="Sidehoved"/>
    </w:pPr>
  </w:p>
  <w:p w14:paraId="7385AF3D" w14:textId="77777777" w:rsidR="00E105F0" w:rsidRDefault="00E105F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3167D9"/>
    <w:multiLevelType w:val="hybridMultilevel"/>
    <w:tmpl w:val="0414D34E"/>
    <w:lvl w:ilvl="0" w:tplc="75EA089E">
      <w:start w:val="1"/>
      <w:numFmt w:val="decimal"/>
      <w:lvlText w:val="%1."/>
      <w:lvlJc w:val="left"/>
      <w:pPr>
        <w:ind w:left="360" w:hanging="360"/>
      </w:pPr>
      <w:rPr>
        <w:rFonts w:ascii="Times New Roman" w:hAnsi="Times New Roman" w:hint="default"/>
        <w:b/>
        <w:i w:val="0"/>
        <w:sz w:val="24"/>
      </w:rPr>
    </w:lvl>
    <w:lvl w:ilvl="1" w:tplc="04380019" w:tentative="1">
      <w:start w:val="1"/>
      <w:numFmt w:val="lowerLetter"/>
      <w:lvlText w:val="%2."/>
      <w:lvlJc w:val="left"/>
      <w:pPr>
        <w:ind w:left="1080" w:hanging="360"/>
      </w:pPr>
    </w:lvl>
    <w:lvl w:ilvl="2" w:tplc="0438001B" w:tentative="1">
      <w:start w:val="1"/>
      <w:numFmt w:val="lowerRoman"/>
      <w:lvlText w:val="%3."/>
      <w:lvlJc w:val="right"/>
      <w:pPr>
        <w:ind w:left="1800" w:hanging="180"/>
      </w:pPr>
    </w:lvl>
    <w:lvl w:ilvl="3" w:tplc="0438000F" w:tentative="1">
      <w:start w:val="1"/>
      <w:numFmt w:val="decimal"/>
      <w:lvlText w:val="%4."/>
      <w:lvlJc w:val="left"/>
      <w:pPr>
        <w:ind w:left="2520" w:hanging="360"/>
      </w:pPr>
    </w:lvl>
    <w:lvl w:ilvl="4" w:tplc="04380019" w:tentative="1">
      <w:start w:val="1"/>
      <w:numFmt w:val="lowerLetter"/>
      <w:lvlText w:val="%5."/>
      <w:lvlJc w:val="left"/>
      <w:pPr>
        <w:ind w:left="3240" w:hanging="360"/>
      </w:pPr>
    </w:lvl>
    <w:lvl w:ilvl="5" w:tplc="0438001B" w:tentative="1">
      <w:start w:val="1"/>
      <w:numFmt w:val="lowerRoman"/>
      <w:lvlText w:val="%6."/>
      <w:lvlJc w:val="right"/>
      <w:pPr>
        <w:ind w:left="3960" w:hanging="180"/>
      </w:pPr>
    </w:lvl>
    <w:lvl w:ilvl="6" w:tplc="0438000F" w:tentative="1">
      <w:start w:val="1"/>
      <w:numFmt w:val="decimal"/>
      <w:lvlText w:val="%7."/>
      <w:lvlJc w:val="left"/>
      <w:pPr>
        <w:ind w:left="4680" w:hanging="360"/>
      </w:pPr>
    </w:lvl>
    <w:lvl w:ilvl="7" w:tplc="04380019" w:tentative="1">
      <w:start w:val="1"/>
      <w:numFmt w:val="lowerLetter"/>
      <w:lvlText w:val="%8."/>
      <w:lvlJc w:val="left"/>
      <w:pPr>
        <w:ind w:left="5400" w:hanging="360"/>
      </w:pPr>
    </w:lvl>
    <w:lvl w:ilvl="8" w:tplc="0438001B" w:tentative="1">
      <w:start w:val="1"/>
      <w:numFmt w:val="lowerRoman"/>
      <w:lvlText w:val="%9."/>
      <w:lvlJc w:val="right"/>
      <w:pPr>
        <w:ind w:left="6120" w:hanging="180"/>
      </w:pPr>
    </w:lvl>
  </w:abstractNum>
  <w:abstractNum w:abstractNumId="1" w15:restartNumberingAfterBreak="0">
    <w:nsid w:val="782C7886"/>
    <w:multiLevelType w:val="hybridMultilevel"/>
    <w:tmpl w:val="140ECFC2"/>
    <w:lvl w:ilvl="0" w:tplc="0438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964316307">
    <w:abstractNumId w:val="0"/>
  </w:num>
  <w:num w:numId="2" w16cid:durableId="1963534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4E"/>
    <w:rsid w:val="00004DEC"/>
    <w:rsid w:val="00014F5E"/>
    <w:rsid w:val="00020390"/>
    <w:rsid w:val="000247AE"/>
    <w:rsid w:val="0004230D"/>
    <w:rsid w:val="0005679B"/>
    <w:rsid w:val="00081C11"/>
    <w:rsid w:val="000C5396"/>
    <w:rsid w:val="000C76D7"/>
    <w:rsid w:val="000C771A"/>
    <w:rsid w:val="00113BC7"/>
    <w:rsid w:val="001539FB"/>
    <w:rsid w:val="00176180"/>
    <w:rsid w:val="001C09F9"/>
    <w:rsid w:val="002173D7"/>
    <w:rsid w:val="002576D1"/>
    <w:rsid w:val="00270652"/>
    <w:rsid w:val="002B1164"/>
    <w:rsid w:val="00314D23"/>
    <w:rsid w:val="003457DC"/>
    <w:rsid w:val="0035699A"/>
    <w:rsid w:val="003B0ACD"/>
    <w:rsid w:val="003D6F3F"/>
    <w:rsid w:val="00454567"/>
    <w:rsid w:val="0046028E"/>
    <w:rsid w:val="00473A13"/>
    <w:rsid w:val="00483BBF"/>
    <w:rsid w:val="00492214"/>
    <w:rsid w:val="004B513C"/>
    <w:rsid w:val="004D3CFD"/>
    <w:rsid w:val="004D5A6C"/>
    <w:rsid w:val="00597887"/>
    <w:rsid w:val="006108DD"/>
    <w:rsid w:val="00666543"/>
    <w:rsid w:val="00670EE8"/>
    <w:rsid w:val="006853C3"/>
    <w:rsid w:val="006B2A1F"/>
    <w:rsid w:val="00740E28"/>
    <w:rsid w:val="00747E67"/>
    <w:rsid w:val="0077746E"/>
    <w:rsid w:val="007A5D96"/>
    <w:rsid w:val="007B6295"/>
    <w:rsid w:val="0082241A"/>
    <w:rsid w:val="0083157A"/>
    <w:rsid w:val="00872A6A"/>
    <w:rsid w:val="0088651F"/>
    <w:rsid w:val="009074E0"/>
    <w:rsid w:val="009079F6"/>
    <w:rsid w:val="0093512F"/>
    <w:rsid w:val="00936A5E"/>
    <w:rsid w:val="009560BD"/>
    <w:rsid w:val="009738C6"/>
    <w:rsid w:val="009776B4"/>
    <w:rsid w:val="0098111B"/>
    <w:rsid w:val="0099437C"/>
    <w:rsid w:val="00997268"/>
    <w:rsid w:val="009F1A54"/>
    <w:rsid w:val="009F758A"/>
    <w:rsid w:val="00A153F1"/>
    <w:rsid w:val="00A475BE"/>
    <w:rsid w:val="00A57395"/>
    <w:rsid w:val="00A679B2"/>
    <w:rsid w:val="00A74989"/>
    <w:rsid w:val="00AB37B1"/>
    <w:rsid w:val="00AB6A1E"/>
    <w:rsid w:val="00AE128A"/>
    <w:rsid w:val="00AF589B"/>
    <w:rsid w:val="00B05136"/>
    <w:rsid w:val="00B126D7"/>
    <w:rsid w:val="00B27CA6"/>
    <w:rsid w:val="00B3535B"/>
    <w:rsid w:val="00B54973"/>
    <w:rsid w:val="00B660D5"/>
    <w:rsid w:val="00B732D0"/>
    <w:rsid w:val="00B81A36"/>
    <w:rsid w:val="00C07ADE"/>
    <w:rsid w:val="00C3438F"/>
    <w:rsid w:val="00C44BFE"/>
    <w:rsid w:val="00C54999"/>
    <w:rsid w:val="00C63752"/>
    <w:rsid w:val="00C73DDC"/>
    <w:rsid w:val="00C83BAF"/>
    <w:rsid w:val="00CC0CE1"/>
    <w:rsid w:val="00CC6A58"/>
    <w:rsid w:val="00CF4622"/>
    <w:rsid w:val="00D14A58"/>
    <w:rsid w:val="00D350FA"/>
    <w:rsid w:val="00D5345C"/>
    <w:rsid w:val="00D560B8"/>
    <w:rsid w:val="00D63224"/>
    <w:rsid w:val="00D720C8"/>
    <w:rsid w:val="00D75D4E"/>
    <w:rsid w:val="00DA413A"/>
    <w:rsid w:val="00DC4784"/>
    <w:rsid w:val="00E105F0"/>
    <w:rsid w:val="00E20B01"/>
    <w:rsid w:val="00E27042"/>
    <w:rsid w:val="00E36BAA"/>
    <w:rsid w:val="00E40944"/>
    <w:rsid w:val="00E66C0E"/>
    <w:rsid w:val="00E83B1B"/>
    <w:rsid w:val="00EC3371"/>
    <w:rsid w:val="00ED605D"/>
    <w:rsid w:val="00F177DF"/>
    <w:rsid w:val="00F32005"/>
    <w:rsid w:val="00F3223F"/>
    <w:rsid w:val="00F533C3"/>
    <w:rsid w:val="00F913F2"/>
    <w:rsid w:val="00FA527B"/>
    <w:rsid w:val="00FC57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0B726B"/>
  <w15:chartTrackingRefBased/>
  <w15:docId w15:val="{A510F4A4-7C4B-43F1-A4CC-902FAF12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371"/>
    <w:pPr>
      <w:spacing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opnrdato">
    <w:name w:val="topnrdato"/>
    <w:basedOn w:val="Normal"/>
    <w:next w:val="Normal"/>
    <w:rsid w:val="00666543"/>
    <w:pPr>
      <w:tabs>
        <w:tab w:val="right" w:pos="9638"/>
      </w:tabs>
      <w:spacing w:after="0"/>
    </w:pPr>
    <w:rPr>
      <w:rFonts w:eastAsia="Times New Roman"/>
      <w:szCs w:val="24"/>
    </w:rPr>
  </w:style>
  <w:style w:type="paragraph" w:customStyle="1" w:styleId="Stk">
    <w:name w:val="Stk"/>
    <w:basedOn w:val="Normal"/>
    <w:rsid w:val="00AF589B"/>
    <w:pPr>
      <w:spacing w:after="0"/>
      <w:ind w:firstLine="170"/>
    </w:pPr>
    <w:rPr>
      <w:rFonts w:eastAsia="Times New Roman"/>
      <w:szCs w:val="24"/>
    </w:rPr>
  </w:style>
  <w:style w:type="paragraph" w:customStyle="1" w:styleId="Paragraftekst">
    <w:name w:val="Paragraftekst"/>
    <w:basedOn w:val="Normal"/>
    <w:next w:val="Normal"/>
    <w:rsid w:val="00AF589B"/>
    <w:pPr>
      <w:spacing w:before="240" w:after="0"/>
      <w:ind w:firstLine="170"/>
    </w:pPr>
    <w:rPr>
      <w:rFonts w:eastAsia="Times New Roman"/>
      <w:szCs w:val="24"/>
    </w:rPr>
  </w:style>
  <w:style w:type="paragraph" w:styleId="Sidehoved">
    <w:name w:val="header"/>
    <w:basedOn w:val="Normal"/>
    <w:link w:val="SidehovedTegn"/>
    <w:uiPriority w:val="99"/>
    <w:unhideWhenUsed/>
    <w:rsid w:val="00EC3371"/>
    <w:pPr>
      <w:tabs>
        <w:tab w:val="center" w:pos="4513"/>
        <w:tab w:val="right" w:pos="9026"/>
      </w:tabs>
      <w:spacing w:after="0"/>
    </w:pPr>
  </w:style>
  <w:style w:type="character" w:customStyle="1" w:styleId="SidehovedTegn">
    <w:name w:val="Sidehoved Tegn"/>
    <w:basedOn w:val="Standardskrifttypeiafsnit"/>
    <w:link w:val="Sidehoved"/>
    <w:uiPriority w:val="99"/>
    <w:rsid w:val="00EC3371"/>
    <w:rPr>
      <w:lang w:val="fo-FO"/>
    </w:rPr>
  </w:style>
  <w:style w:type="table" w:styleId="Tabel-Gitter">
    <w:name w:val="Table Grid"/>
    <w:basedOn w:val="Tabel-Normal"/>
    <w:uiPriority w:val="59"/>
    <w:rsid w:val="00EC3371"/>
    <w:pPr>
      <w:spacing w:after="0" w:line="240" w:lineRule="auto"/>
    </w:pPr>
    <w:rPr>
      <w:rFonts w:asciiTheme="minorHAnsi" w:hAnsiTheme="minorHAnsi"/>
      <w:sz w:val="22"/>
      <w:lang w:val="fo-F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rsid w:val="00EC3371"/>
    <w:pPr>
      <w:ind w:left="720"/>
      <w:contextualSpacing/>
    </w:pPr>
  </w:style>
  <w:style w:type="character" w:customStyle="1" w:styleId="TypografiFed">
    <w:name w:val="Typografi Fed"/>
    <w:basedOn w:val="Standardskrifttypeiafsnit"/>
    <w:rsid w:val="00EC3371"/>
    <w:rPr>
      <w:rFonts w:ascii="Times New Roman" w:hAnsi="Times New Roman"/>
      <w:b/>
      <w:bCs/>
      <w:sz w:val="24"/>
    </w:rPr>
  </w:style>
  <w:style w:type="character" w:customStyle="1" w:styleId="TypografiKursiv">
    <w:name w:val="Typografi Kursiv"/>
    <w:basedOn w:val="Standardskrifttypeiafsnit"/>
    <w:rsid w:val="00EC3371"/>
    <w:rPr>
      <w:rFonts w:ascii="Times New Roman" w:hAnsi="Times New Roman"/>
      <w:i/>
      <w:iCs/>
      <w:sz w:val="24"/>
    </w:rPr>
  </w:style>
  <w:style w:type="paragraph" w:styleId="Korrektur">
    <w:name w:val="Revision"/>
    <w:hidden/>
    <w:uiPriority w:val="99"/>
    <w:semiHidden/>
    <w:rsid w:val="00C07ADE"/>
    <w:pPr>
      <w:spacing w:after="0" w:line="240" w:lineRule="auto"/>
    </w:pPr>
  </w:style>
  <w:style w:type="character" w:styleId="Kommentarhenvisning">
    <w:name w:val="annotation reference"/>
    <w:basedOn w:val="Standardskrifttypeiafsnit"/>
    <w:uiPriority w:val="99"/>
    <w:semiHidden/>
    <w:unhideWhenUsed/>
    <w:rsid w:val="004B513C"/>
    <w:rPr>
      <w:sz w:val="16"/>
      <w:szCs w:val="16"/>
    </w:rPr>
  </w:style>
  <w:style w:type="paragraph" w:styleId="Kommentartekst">
    <w:name w:val="annotation text"/>
    <w:basedOn w:val="Normal"/>
    <w:link w:val="KommentartekstTegn"/>
    <w:uiPriority w:val="99"/>
    <w:unhideWhenUsed/>
    <w:rsid w:val="004B513C"/>
    <w:rPr>
      <w:sz w:val="20"/>
      <w:szCs w:val="20"/>
    </w:rPr>
  </w:style>
  <w:style w:type="character" w:customStyle="1" w:styleId="KommentartekstTegn">
    <w:name w:val="Kommentartekst Tegn"/>
    <w:basedOn w:val="Standardskrifttypeiafsnit"/>
    <w:link w:val="Kommentartekst"/>
    <w:uiPriority w:val="99"/>
    <w:rsid w:val="004B513C"/>
    <w:rPr>
      <w:sz w:val="20"/>
      <w:szCs w:val="20"/>
    </w:rPr>
  </w:style>
  <w:style w:type="paragraph" w:styleId="Kommentaremne">
    <w:name w:val="annotation subject"/>
    <w:basedOn w:val="Kommentartekst"/>
    <w:next w:val="Kommentartekst"/>
    <w:link w:val="KommentaremneTegn"/>
    <w:uiPriority w:val="99"/>
    <w:semiHidden/>
    <w:unhideWhenUsed/>
    <w:rsid w:val="004B513C"/>
    <w:rPr>
      <w:b/>
      <w:bCs/>
    </w:rPr>
  </w:style>
  <w:style w:type="character" w:customStyle="1" w:styleId="KommentaremneTegn">
    <w:name w:val="Kommentaremne Tegn"/>
    <w:basedOn w:val="KommentartekstTegn"/>
    <w:link w:val="Kommentaremne"/>
    <w:uiPriority w:val="99"/>
    <w:semiHidden/>
    <w:rsid w:val="004B513C"/>
    <w:rPr>
      <w:b/>
      <w:bCs/>
      <w:sz w:val="20"/>
      <w:szCs w:val="20"/>
    </w:rPr>
  </w:style>
  <w:style w:type="paragraph" w:styleId="Markeringsbobletekst">
    <w:name w:val="Balloon Text"/>
    <w:basedOn w:val="Normal"/>
    <w:link w:val="MarkeringsbobletekstTegn"/>
    <w:uiPriority w:val="99"/>
    <w:semiHidden/>
    <w:unhideWhenUsed/>
    <w:rsid w:val="009074E0"/>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074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2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7731C-E01B-402E-9C23-FD1D99621D0C}">
  <ds:schemaRefs>
    <ds:schemaRef ds:uri="http://schemas.openxmlformats.org/officeDocument/2006/bibliography"/>
  </ds:schemaRefs>
</ds:datastoreItem>
</file>

<file path=docMetadata/LabelInfo.xml><?xml version="1.0" encoding="utf-8"?>
<clbl:labelList xmlns:clbl="http://schemas.microsoft.com/office/2020/mipLabelMetadata">
  <clbl:label id="{405f16c3-7567-46ee-998d-0686c274243b}" enabled="0" method="" siteId="{405f16c3-7567-46ee-998d-0686c274243b}" removed="1"/>
</clbl:labelList>
</file>

<file path=docProps/app.xml><?xml version="1.0" encoding="utf-8"?>
<Properties xmlns="http://schemas.openxmlformats.org/officeDocument/2006/extended-properties" xmlns:vt="http://schemas.openxmlformats.org/officeDocument/2006/docPropsVTypes">
  <Template>Normal</Template>
  <TotalTime>65</TotalTime>
  <Pages>2</Pages>
  <Words>286</Words>
  <Characters>1749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Uppskot til broytingarkunngerð</vt:lpstr>
    </vt:vector>
  </TitlesOfParts>
  <Company>Lógartænastan</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Uppskot til broytingarkunngerð</dc:title>
  <dc:subject>Uppskot til broytingarkunngerð</dc:subject>
  <dc:creator>Ragnfríð Nord Anthoniussen</dc:creator>
  <cp:keywords>5. útgáva, desember 2020</cp:keywords>
  <dc:description>Uppskot til broytingarkunngerð - 5. útgáva, desember 2020</dc:description>
  <cp:lastModifiedBy>Ragnfríð Nord Anthoniussen</cp:lastModifiedBy>
  <cp:revision>26</cp:revision>
  <cp:lastPrinted>2024-04-03T10:25:00Z</cp:lastPrinted>
  <dcterms:created xsi:type="dcterms:W3CDTF">2024-06-03T15:29:00Z</dcterms:created>
  <dcterms:modified xsi:type="dcterms:W3CDTF">2024-07-09T13:18:00Z</dcterms:modified>
</cp:coreProperties>
</file>